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416"/>
      </w:tblGrid>
      <w:tr w:rsidR="00345425" w14:paraId="55985B59" w14:textId="77777777" w:rsidTr="00876B14">
        <w:trPr>
          <w:trHeight w:val="2395"/>
        </w:trPr>
        <w:tc>
          <w:tcPr>
            <w:tcW w:w="2646" w:type="dxa"/>
          </w:tcPr>
          <w:p w14:paraId="71B1F0DD" w14:textId="77777777" w:rsidR="00345425" w:rsidRDefault="00345425" w:rsidP="00876B14"/>
          <w:p w14:paraId="52723935" w14:textId="77777777" w:rsidR="00345425" w:rsidRDefault="00345425" w:rsidP="00876B14">
            <w:r>
              <w:rPr>
                <w:noProof/>
              </w:rPr>
              <w:drawing>
                <wp:inline distT="0" distB="0" distL="0" distR="0" wp14:anchorId="50F54C5C" wp14:editId="6D7F35E4">
                  <wp:extent cx="1352550" cy="1179195"/>
                  <wp:effectExtent l="0" t="0" r="0" b="1905"/>
                  <wp:docPr id="1" name="Slika 1" descr="http://www.ss-elektrotehnickaiekonomska-ngradiska.skole.hr/upload/ss-elektrotehnickaiekonomska-ngradiska/images/static3/2126/Image/logosk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 descr="http://www.ss-elektrotehnickaiekonomska-ngradiska.skole.hr/upload/ss-elektrotehnickaiekonomska-ngradiska/images/static3/2126/Image/logosk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791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0987E4" w14:textId="77777777" w:rsidR="00345425" w:rsidRDefault="00345425" w:rsidP="00876B14"/>
        </w:tc>
        <w:tc>
          <w:tcPr>
            <w:tcW w:w="6416" w:type="dxa"/>
          </w:tcPr>
          <w:p w14:paraId="1FAEDCF1" w14:textId="77777777" w:rsidR="00345425" w:rsidRDefault="00345425" w:rsidP="00876B14"/>
          <w:p w14:paraId="125EDC5A" w14:textId="77777777" w:rsidR="00345425" w:rsidRDefault="00345425" w:rsidP="00876B14"/>
          <w:p w14:paraId="5C382828" w14:textId="77777777" w:rsidR="00345425" w:rsidRPr="000C5D5D" w:rsidRDefault="00345425" w:rsidP="00876B14">
            <w:pPr>
              <w:rPr>
                <w:b/>
              </w:rPr>
            </w:pPr>
            <w:r w:rsidRPr="000C5D5D">
              <w:rPr>
                <w:b/>
              </w:rPr>
              <w:t>ELEKTROTEHNIČKA I EKONOMSKA ŠKOLA</w:t>
            </w:r>
          </w:p>
          <w:p w14:paraId="716980F6" w14:textId="77777777" w:rsidR="00345425" w:rsidRDefault="00345425" w:rsidP="00876B14"/>
          <w:p w14:paraId="778555EC" w14:textId="5FEF4D69" w:rsidR="00345425" w:rsidRDefault="00345425" w:rsidP="00876B14">
            <w:r>
              <w:t xml:space="preserve">Ulica Ive Petranovića </w:t>
            </w:r>
            <w:r w:rsidR="000B029B">
              <w:t>9</w:t>
            </w:r>
          </w:p>
          <w:p w14:paraId="513E48FA" w14:textId="77777777" w:rsidR="00345425" w:rsidRDefault="00345425" w:rsidP="00876B14">
            <w:r>
              <w:t>35 400 Nova Gradiška</w:t>
            </w:r>
          </w:p>
          <w:p w14:paraId="5D827D9A" w14:textId="77777777" w:rsidR="00345425" w:rsidRDefault="00345425" w:rsidP="00876B14">
            <w:proofErr w:type="spellStart"/>
            <w:r>
              <w:t>tel</w:t>
            </w:r>
            <w:proofErr w:type="spellEnd"/>
            <w:r>
              <w:t>/fax: 035/362-145</w:t>
            </w:r>
          </w:p>
          <w:p w14:paraId="72197487" w14:textId="77777777" w:rsidR="00345425" w:rsidRDefault="00345425" w:rsidP="00876B14">
            <w:r>
              <w:t>e-mail: etes@ees.hr</w:t>
            </w:r>
          </w:p>
        </w:tc>
      </w:tr>
    </w:tbl>
    <w:p w14:paraId="20E7D6A8" w14:textId="05BEEC1A" w:rsidR="00FF1327" w:rsidRDefault="00FF1327" w:rsidP="000035AE">
      <w:pPr>
        <w:jc w:val="both"/>
        <w:rPr>
          <w:b/>
          <w:highlight w:val="cyan"/>
        </w:rPr>
      </w:pPr>
    </w:p>
    <w:p w14:paraId="4ADE98DA" w14:textId="77777777" w:rsidR="00345425" w:rsidRDefault="00FF1327" w:rsidP="00FF1327">
      <w:pPr>
        <w:jc w:val="center"/>
        <w:rPr>
          <w:b/>
          <w:sz w:val="24"/>
          <w:szCs w:val="24"/>
        </w:rPr>
      </w:pPr>
      <w:r w:rsidRPr="0046204F">
        <w:rPr>
          <w:b/>
          <w:sz w:val="24"/>
          <w:szCs w:val="24"/>
        </w:rPr>
        <w:t xml:space="preserve">OBRAZLOŽENJE </w:t>
      </w:r>
    </w:p>
    <w:p w14:paraId="7922BE6C" w14:textId="589AB8D6" w:rsidR="00FF1327" w:rsidRPr="0046204F" w:rsidRDefault="00FF1327" w:rsidP="00FF1327">
      <w:pPr>
        <w:jc w:val="center"/>
        <w:rPr>
          <w:b/>
          <w:sz w:val="24"/>
          <w:szCs w:val="24"/>
        </w:rPr>
      </w:pPr>
      <w:r w:rsidRPr="0046204F">
        <w:rPr>
          <w:b/>
          <w:sz w:val="24"/>
          <w:szCs w:val="24"/>
        </w:rPr>
        <w:t>GODIŠNJEG IZVJEŠTAJA O IZVRŠENJU FINANCIJSKOG PLANA ZA 202</w:t>
      </w:r>
      <w:r w:rsidR="00345425">
        <w:rPr>
          <w:b/>
          <w:sz w:val="24"/>
          <w:szCs w:val="24"/>
        </w:rPr>
        <w:t>4</w:t>
      </w:r>
      <w:r w:rsidRPr="0046204F">
        <w:rPr>
          <w:b/>
          <w:sz w:val="24"/>
          <w:szCs w:val="24"/>
        </w:rPr>
        <w:t xml:space="preserve">. GODINU </w:t>
      </w:r>
    </w:p>
    <w:p w14:paraId="44F03BCE" w14:textId="77777777" w:rsidR="00D824F4" w:rsidRPr="00D824F4" w:rsidRDefault="00D824F4" w:rsidP="00FF1327">
      <w:pPr>
        <w:jc w:val="center"/>
        <w:rPr>
          <w:b/>
        </w:rPr>
      </w:pPr>
    </w:p>
    <w:p w14:paraId="4F33305E" w14:textId="77777777" w:rsidR="00FF1327" w:rsidRPr="00D824F4" w:rsidRDefault="00FF1327" w:rsidP="000035AE">
      <w:pPr>
        <w:jc w:val="both"/>
        <w:rPr>
          <w:b/>
        </w:rPr>
      </w:pPr>
    </w:p>
    <w:p w14:paraId="27578194" w14:textId="01ACA55A" w:rsidR="000035AE" w:rsidRPr="000E461A" w:rsidRDefault="00345425" w:rsidP="000035AE">
      <w:pPr>
        <w:jc w:val="both"/>
        <w:rPr>
          <w:b/>
        </w:rPr>
      </w:pPr>
      <w:r>
        <w:rPr>
          <w:b/>
        </w:rPr>
        <w:t>I</w:t>
      </w:r>
      <w:r w:rsidR="000035AE" w:rsidRPr="000E461A">
        <w:rPr>
          <w:b/>
        </w:rPr>
        <w:t>.</w:t>
      </w:r>
      <w:r w:rsidR="00DE69E9" w:rsidRPr="000E461A">
        <w:rPr>
          <w:b/>
        </w:rPr>
        <w:t xml:space="preserve"> </w:t>
      </w:r>
      <w:r w:rsidR="000035AE" w:rsidRPr="000E461A">
        <w:rPr>
          <w:b/>
        </w:rPr>
        <w:t>PRAVNI OSNOV</w:t>
      </w:r>
    </w:p>
    <w:p w14:paraId="44ABEE91" w14:textId="32FEFB2A" w:rsidR="00345425" w:rsidRDefault="000035AE" w:rsidP="00104A4C">
      <w:pPr>
        <w:jc w:val="both"/>
      </w:pPr>
      <w:r w:rsidRPr="000E461A">
        <w:t xml:space="preserve">U skladu s odredbama članka 86. Zakona o proračunu (NN br. 144/21) proračunski korisnik dužan je upravljačkom tijelu dostaviti na usvajanje prijedlog godišnjeg izvještaja o izvršenju financijskog plana za proteklo razdoblje do 31. </w:t>
      </w:r>
      <w:r w:rsidR="00313966" w:rsidRPr="000E461A">
        <w:t>ožujka</w:t>
      </w:r>
      <w:r w:rsidRPr="000E461A">
        <w:t xml:space="preserve"> tekuće proračunske godine.</w:t>
      </w:r>
    </w:p>
    <w:p w14:paraId="620D7733" w14:textId="739E729B" w:rsidR="00FF1409" w:rsidRPr="009B35B6" w:rsidRDefault="00345425" w:rsidP="00FF1409">
      <w:pPr>
        <w:jc w:val="both"/>
        <w:rPr>
          <w:rFonts w:ascii="Calibri" w:eastAsia="Calibri" w:hAnsi="Calibri" w:cs="Times New Roman"/>
        </w:rPr>
      </w:pPr>
      <w:r>
        <w:t xml:space="preserve">Sukladno Pravilniku o polugodišnjem i godišnjem izvještaju o izvršenju proračuna i financijskog plana (NN br. 85/23) izvještaj </w:t>
      </w:r>
      <w:r w:rsidR="00327AFF">
        <w:t>o</w:t>
      </w:r>
      <w:r>
        <w:t xml:space="preserve"> izvršenju sadrži o</w:t>
      </w:r>
      <w:r w:rsidR="00104A4C" w:rsidRPr="009B35B6">
        <w:rPr>
          <w:rFonts w:ascii="Calibri" w:eastAsia="Calibri" w:hAnsi="Calibri" w:cs="Times New Roman"/>
        </w:rPr>
        <w:t xml:space="preserve">pći i posebni dio, obrazloženje i posebne izvještaje.  </w:t>
      </w:r>
    </w:p>
    <w:p w14:paraId="39A2DA43" w14:textId="4E2709CA" w:rsidR="00FF1409" w:rsidRPr="009B35B6" w:rsidRDefault="00104A4C" w:rsidP="00FF1409">
      <w:pPr>
        <w:jc w:val="both"/>
        <w:rPr>
          <w:rFonts w:ascii="Calibri" w:eastAsia="Calibri" w:hAnsi="Calibri" w:cs="Times New Roman"/>
        </w:rPr>
      </w:pPr>
      <w:r w:rsidRPr="009B35B6">
        <w:rPr>
          <w:rFonts w:ascii="Calibri" w:eastAsia="Calibri" w:hAnsi="Calibri" w:cs="Times New Roman"/>
        </w:rPr>
        <w:t xml:space="preserve">Opći dio izvještaja o izvršenju </w:t>
      </w:r>
      <w:r w:rsidR="00FF1409" w:rsidRPr="009B35B6">
        <w:rPr>
          <w:rFonts w:ascii="Calibri" w:eastAsia="Calibri" w:hAnsi="Calibri" w:cs="Times New Roman"/>
        </w:rPr>
        <w:t>financijskog plana</w:t>
      </w:r>
      <w:r w:rsidRPr="009B35B6">
        <w:rPr>
          <w:rFonts w:ascii="Calibri" w:eastAsia="Calibri" w:hAnsi="Calibri" w:cs="Times New Roman"/>
        </w:rPr>
        <w:t xml:space="preserve"> sadrži sažetak Računa prihoda i rashoda i Računa financiranja te Račun prihoda i rashoda i Račun financiranja. </w:t>
      </w:r>
      <w:r w:rsidR="006E521A">
        <w:rPr>
          <w:rFonts w:ascii="Calibri" w:eastAsia="Calibri" w:hAnsi="Calibri" w:cs="Times New Roman"/>
        </w:rPr>
        <w:t>Račun prihoda i rashoda sastoji se od izvještaja o prihodima i rashodima prema ekonomskoj klasifikaciji i izvorima financiranja te izvještaj</w:t>
      </w:r>
      <w:r w:rsidR="008F4FDE">
        <w:rPr>
          <w:rFonts w:ascii="Calibri" w:eastAsia="Calibri" w:hAnsi="Calibri" w:cs="Times New Roman"/>
        </w:rPr>
        <w:t>a</w:t>
      </w:r>
      <w:r w:rsidR="006E521A">
        <w:rPr>
          <w:rFonts w:ascii="Calibri" w:eastAsia="Calibri" w:hAnsi="Calibri" w:cs="Times New Roman"/>
        </w:rPr>
        <w:t xml:space="preserve"> o rashodima prema funkcijskoj klasifikaciji. Račun financiranja sadrži izvještaj računa financiranja prema ekonomskoj klasifikaciji i izvorima financiranja</w:t>
      </w:r>
      <w:r w:rsidR="008F4FDE">
        <w:rPr>
          <w:rFonts w:ascii="Calibri" w:eastAsia="Calibri" w:hAnsi="Calibri" w:cs="Times New Roman"/>
        </w:rPr>
        <w:t>.</w:t>
      </w:r>
    </w:p>
    <w:p w14:paraId="379C040C" w14:textId="4F01C101" w:rsidR="00104A4C" w:rsidRDefault="00104A4C" w:rsidP="00FF1409">
      <w:pPr>
        <w:jc w:val="both"/>
        <w:rPr>
          <w:rFonts w:ascii="Calibri" w:eastAsia="Calibri" w:hAnsi="Calibri" w:cs="Times New Roman"/>
        </w:rPr>
      </w:pPr>
      <w:r w:rsidRPr="009B35B6">
        <w:rPr>
          <w:rFonts w:ascii="Calibri" w:eastAsia="Calibri" w:hAnsi="Calibri" w:cs="Times New Roman"/>
        </w:rPr>
        <w:t xml:space="preserve">Posebni dio izvještaja o izvršenju </w:t>
      </w:r>
      <w:r w:rsidR="00FF1409" w:rsidRPr="009B35B6">
        <w:rPr>
          <w:rFonts w:ascii="Calibri" w:eastAsia="Calibri" w:hAnsi="Calibri" w:cs="Times New Roman"/>
        </w:rPr>
        <w:t xml:space="preserve">financijskog plana </w:t>
      </w:r>
      <w:r w:rsidRPr="009B35B6">
        <w:rPr>
          <w:rFonts w:ascii="Calibri" w:eastAsia="Calibri" w:hAnsi="Calibri" w:cs="Times New Roman"/>
        </w:rPr>
        <w:t xml:space="preserve">sadrži izvršenje rashoda i izdataka </w:t>
      </w:r>
      <w:r w:rsidR="00FF1409" w:rsidRPr="009B35B6">
        <w:rPr>
          <w:rFonts w:ascii="Calibri" w:eastAsia="Calibri" w:hAnsi="Calibri" w:cs="Times New Roman"/>
        </w:rPr>
        <w:t>iskazanih po izvorima financiranja i ekonomskoj klasifikaciji, raspoređenih u programe koji se sastoje od aktivnosti i projekata.</w:t>
      </w:r>
    </w:p>
    <w:p w14:paraId="11561902" w14:textId="77777777" w:rsidR="00571D0C" w:rsidRDefault="00571D0C" w:rsidP="00FF1409">
      <w:pPr>
        <w:jc w:val="both"/>
        <w:rPr>
          <w:rFonts w:ascii="Calibri" w:eastAsia="Calibri" w:hAnsi="Calibri" w:cs="Times New Roman"/>
        </w:rPr>
      </w:pPr>
    </w:p>
    <w:p w14:paraId="011841CC" w14:textId="77777777" w:rsidR="00345425" w:rsidRDefault="00345425" w:rsidP="00FF1409">
      <w:pPr>
        <w:jc w:val="both"/>
        <w:rPr>
          <w:rFonts w:ascii="Calibri" w:eastAsia="Calibri" w:hAnsi="Calibri" w:cs="Times New Roman"/>
        </w:rPr>
      </w:pPr>
    </w:p>
    <w:p w14:paraId="775413AD" w14:textId="2F0A2CCE" w:rsidR="000035AE" w:rsidRPr="009E1086" w:rsidRDefault="00345425" w:rsidP="000035AE">
      <w:pPr>
        <w:jc w:val="both"/>
      </w:pPr>
      <w:r w:rsidRPr="00D824F4">
        <w:rPr>
          <w:b/>
        </w:rPr>
        <w:t>I</w:t>
      </w:r>
      <w:r>
        <w:rPr>
          <w:b/>
        </w:rPr>
        <w:t>I</w:t>
      </w:r>
      <w:r w:rsidRPr="00D824F4">
        <w:rPr>
          <w:b/>
        </w:rPr>
        <w:t>.  OBRAZLOŽENJE OPĆEG DIJELA IZVJEŠTAJA O IZVRŠENJU FINANCIJSKOG PLANA</w:t>
      </w:r>
    </w:p>
    <w:p w14:paraId="6F83D373" w14:textId="0EA700CE" w:rsidR="000035AE" w:rsidRPr="000E461A" w:rsidRDefault="00DC2931" w:rsidP="00DE69E9">
      <w:pPr>
        <w:jc w:val="both"/>
        <w:rPr>
          <w:b/>
        </w:rPr>
      </w:pPr>
      <w:r>
        <w:rPr>
          <w:b/>
        </w:rPr>
        <w:t>1</w:t>
      </w:r>
      <w:r w:rsidR="00DE69E9" w:rsidRPr="000E461A">
        <w:rPr>
          <w:b/>
        </w:rPr>
        <w:t xml:space="preserve">. </w:t>
      </w:r>
      <w:r w:rsidR="000035AE" w:rsidRPr="000E461A">
        <w:rPr>
          <w:b/>
        </w:rPr>
        <w:t xml:space="preserve">OBRAZLOŽENJE </w:t>
      </w:r>
      <w:r w:rsidR="00D824F4">
        <w:rPr>
          <w:b/>
        </w:rPr>
        <w:t>OSTVARENJA PRIHODA I RASHODA, PRIMITAKA I IZDATAKA</w:t>
      </w:r>
    </w:p>
    <w:p w14:paraId="5F781E06" w14:textId="34B7D47A" w:rsidR="00E16166" w:rsidRPr="006E77B0" w:rsidRDefault="000035AE" w:rsidP="000035AE">
      <w:pPr>
        <w:jc w:val="both"/>
      </w:pPr>
      <w:r w:rsidRPr="006E77B0">
        <w:t xml:space="preserve">Prihodi poslovanja ostvareni su u iznosu </w:t>
      </w:r>
      <w:r w:rsidR="002A3570" w:rsidRPr="006E77B0">
        <w:t>1.571,620,30</w:t>
      </w:r>
      <w:r w:rsidR="00BE7338" w:rsidRPr="006E77B0">
        <w:t xml:space="preserve"> €</w:t>
      </w:r>
      <w:r w:rsidRPr="006E77B0">
        <w:t xml:space="preserve"> što čini </w:t>
      </w:r>
      <w:r w:rsidR="002A3570" w:rsidRPr="006E77B0">
        <w:t>99,17</w:t>
      </w:r>
      <w:r w:rsidRPr="006E77B0">
        <w:t>% plana. U odnosu na prethodnu godinu prihod</w:t>
      </w:r>
      <w:r w:rsidR="00E27C16" w:rsidRPr="006E77B0">
        <w:t>i</w:t>
      </w:r>
      <w:r w:rsidR="00544A96" w:rsidRPr="006E77B0">
        <w:t xml:space="preserve"> poslovanja</w:t>
      </w:r>
      <w:r w:rsidRPr="006E77B0">
        <w:t xml:space="preserve"> ostvareni </w:t>
      </w:r>
      <w:r w:rsidR="00544A96" w:rsidRPr="006E77B0">
        <w:t xml:space="preserve">su </w:t>
      </w:r>
      <w:r w:rsidRPr="006E77B0">
        <w:t xml:space="preserve">u </w:t>
      </w:r>
      <w:r w:rsidR="00D664D1" w:rsidRPr="006E77B0">
        <w:t>većem</w:t>
      </w:r>
      <w:r w:rsidR="00EA2E7C" w:rsidRPr="006E77B0">
        <w:t xml:space="preserve"> iznosu za </w:t>
      </w:r>
      <w:r w:rsidR="002A3570" w:rsidRPr="006E77B0">
        <w:t>27,47</w:t>
      </w:r>
      <w:r w:rsidR="00EA2E7C" w:rsidRPr="006E77B0">
        <w:t xml:space="preserve">% ili </w:t>
      </w:r>
      <w:r w:rsidR="002A3570" w:rsidRPr="006E77B0">
        <w:t>338.680,42</w:t>
      </w:r>
      <w:r w:rsidR="00BE7338" w:rsidRPr="006E77B0">
        <w:t xml:space="preserve"> €</w:t>
      </w:r>
      <w:r w:rsidR="00EA2E7C" w:rsidRPr="006E77B0">
        <w:t>.</w:t>
      </w:r>
      <w:r w:rsidR="001B54C8" w:rsidRPr="006E77B0">
        <w:t xml:space="preserve"> Prihodi od prodaje nefinancijske imovine </w:t>
      </w:r>
      <w:r w:rsidR="000B58C8" w:rsidRPr="006E77B0">
        <w:t>nisu planirani za 202</w:t>
      </w:r>
      <w:r w:rsidR="002A3570" w:rsidRPr="006E77B0">
        <w:t>4</w:t>
      </w:r>
      <w:r w:rsidR="000B58C8" w:rsidRPr="006E77B0">
        <w:t>. godinu, također nisu ostvareni jer je tijekom 2022. godine izvršena konačna otplata stanova na kojima je postojalo stanarsko pravo.</w:t>
      </w:r>
      <w:r w:rsidR="00BE7338" w:rsidRPr="006E77B0">
        <w:t xml:space="preserve"> </w:t>
      </w:r>
      <w:r w:rsidR="001B54C8" w:rsidRPr="006E77B0">
        <w:t xml:space="preserve">Rashodi poslovanja realizirani su s </w:t>
      </w:r>
      <w:r w:rsidR="00271E7C" w:rsidRPr="006E77B0">
        <w:t>1.552</w:t>
      </w:r>
      <w:r w:rsidR="00B953E9" w:rsidRPr="006E77B0">
        <w:t>.</w:t>
      </w:r>
      <w:r w:rsidR="00271E7C" w:rsidRPr="006E77B0">
        <w:t>820,61</w:t>
      </w:r>
      <w:r w:rsidR="00BE7338" w:rsidRPr="006E77B0">
        <w:t xml:space="preserve"> €</w:t>
      </w:r>
      <w:r w:rsidR="001B54C8" w:rsidRPr="006E77B0">
        <w:t xml:space="preserve"> ili </w:t>
      </w:r>
      <w:r w:rsidR="00E16166" w:rsidRPr="006E77B0">
        <w:t xml:space="preserve">99,14 </w:t>
      </w:r>
      <w:r w:rsidR="001B54C8" w:rsidRPr="006E77B0">
        <w:t xml:space="preserve">% plana, a u odnosu na prethodnu godinu ovi rashodi su </w:t>
      </w:r>
      <w:r w:rsidR="00D664D1" w:rsidRPr="006E77B0">
        <w:t>veći za</w:t>
      </w:r>
      <w:r w:rsidR="001B54C8" w:rsidRPr="006E77B0">
        <w:t xml:space="preserve"> </w:t>
      </w:r>
      <w:r w:rsidR="00E16166" w:rsidRPr="006E77B0">
        <w:t>335.529,45</w:t>
      </w:r>
      <w:r w:rsidR="00BE7338" w:rsidRPr="006E77B0">
        <w:t xml:space="preserve"> €</w:t>
      </w:r>
      <w:r w:rsidR="001B54C8" w:rsidRPr="006E77B0">
        <w:t xml:space="preserve"> ili </w:t>
      </w:r>
      <w:r w:rsidR="00E16166" w:rsidRPr="006E77B0">
        <w:t xml:space="preserve">27,56 </w:t>
      </w:r>
      <w:r w:rsidR="001B54C8" w:rsidRPr="006E77B0">
        <w:t xml:space="preserve">%. Rashodi za nabavu nefinancijske imovine ostvareni su s </w:t>
      </w:r>
      <w:r w:rsidR="00E16166" w:rsidRPr="006E77B0">
        <w:t>18.745,96</w:t>
      </w:r>
      <w:r w:rsidR="00D17C5F" w:rsidRPr="006E77B0">
        <w:t xml:space="preserve"> €</w:t>
      </w:r>
      <w:r w:rsidR="001B54C8" w:rsidRPr="006E77B0">
        <w:t xml:space="preserve"> ili</w:t>
      </w:r>
      <w:r w:rsidR="00313966" w:rsidRPr="006E77B0">
        <w:t xml:space="preserve"> </w:t>
      </w:r>
      <w:r w:rsidR="00E16166" w:rsidRPr="006E77B0">
        <w:t xml:space="preserve">57,55 </w:t>
      </w:r>
      <w:r w:rsidR="001B54C8" w:rsidRPr="006E77B0">
        <w:t xml:space="preserve">% plana, a u odnosu na prethodnu godinu ovi rashodi su </w:t>
      </w:r>
      <w:r w:rsidR="00E16166" w:rsidRPr="006E77B0">
        <w:t>veći</w:t>
      </w:r>
      <w:r w:rsidR="00D17C5F" w:rsidRPr="006E77B0">
        <w:t xml:space="preserve"> za </w:t>
      </w:r>
      <w:r w:rsidR="00E16166" w:rsidRPr="006E77B0">
        <w:t>12.091,51</w:t>
      </w:r>
      <w:r w:rsidR="00D17C5F" w:rsidRPr="006E77B0">
        <w:t xml:space="preserve"> €</w:t>
      </w:r>
      <w:r w:rsidR="001B54C8" w:rsidRPr="006E77B0">
        <w:t xml:space="preserve"> ili </w:t>
      </w:r>
      <w:r w:rsidR="00E16166" w:rsidRPr="006E77B0">
        <w:t xml:space="preserve">181,71 </w:t>
      </w:r>
      <w:r w:rsidR="001B54C8" w:rsidRPr="006E77B0">
        <w:t xml:space="preserve">%. </w:t>
      </w:r>
    </w:p>
    <w:p w14:paraId="7D444746" w14:textId="367FDAF3" w:rsidR="001B7899" w:rsidRPr="006E77B0" w:rsidRDefault="001B54C8" w:rsidP="001B7899">
      <w:pPr>
        <w:pStyle w:val="Bezproreda"/>
        <w:jc w:val="both"/>
      </w:pPr>
      <w:r w:rsidRPr="006E77B0">
        <w:lastRenderedPageBreak/>
        <w:t xml:space="preserve">Prema ovom izvješću financijski plan je u izvještajnom razdoblju ostvaren s </w:t>
      </w:r>
      <w:r w:rsidR="00D17C5F" w:rsidRPr="006E77B0">
        <w:t>1</w:t>
      </w:r>
      <w:r w:rsidR="00E16166" w:rsidRPr="006E77B0">
        <w:t>.571.620,30</w:t>
      </w:r>
      <w:r w:rsidR="00D17C5F" w:rsidRPr="006E77B0">
        <w:t xml:space="preserve"> €</w:t>
      </w:r>
      <w:r w:rsidRPr="006E77B0">
        <w:t xml:space="preserve"> prihoda i primitaka, </w:t>
      </w:r>
      <w:r w:rsidR="00E16166" w:rsidRPr="006E77B0">
        <w:t>1</w:t>
      </w:r>
      <w:r w:rsidR="007E0496" w:rsidRPr="006E77B0">
        <w:t>.</w:t>
      </w:r>
      <w:r w:rsidR="00E16166" w:rsidRPr="006E77B0">
        <w:t>571.566,57</w:t>
      </w:r>
      <w:r w:rsidR="00D17C5F" w:rsidRPr="006E77B0">
        <w:t xml:space="preserve"> €</w:t>
      </w:r>
      <w:r w:rsidRPr="006E77B0">
        <w:t xml:space="preserve"> rashoda i izdataka što čini </w:t>
      </w:r>
      <w:r w:rsidR="00E16166" w:rsidRPr="006E77B0">
        <w:t>99,17</w:t>
      </w:r>
      <w:r w:rsidR="00BB36FA" w:rsidRPr="006E77B0">
        <w:t xml:space="preserve">% plana prihoda i primitaka, odnosno </w:t>
      </w:r>
      <w:r w:rsidR="00E16166" w:rsidRPr="006E77B0">
        <w:t>98,29</w:t>
      </w:r>
      <w:r w:rsidR="00D17C5F" w:rsidRPr="006E77B0">
        <w:t xml:space="preserve"> </w:t>
      </w:r>
      <w:r w:rsidR="00BB36FA" w:rsidRPr="006E77B0">
        <w:t xml:space="preserve">% planiranih rashoda i izdataka. </w:t>
      </w:r>
      <w:r w:rsidR="004C56BB" w:rsidRPr="006E77B0">
        <w:t xml:space="preserve">U odnosu na </w:t>
      </w:r>
      <w:r w:rsidR="00C13F9D" w:rsidRPr="006E77B0">
        <w:t xml:space="preserve">realizaciju </w:t>
      </w:r>
      <w:r w:rsidR="004C56BB" w:rsidRPr="006E77B0">
        <w:t>prethodn</w:t>
      </w:r>
      <w:r w:rsidR="00C13F9D" w:rsidRPr="006E77B0">
        <w:t>e</w:t>
      </w:r>
      <w:r w:rsidR="004C56BB" w:rsidRPr="006E77B0">
        <w:t xml:space="preserve"> godinu prihodi su veći za </w:t>
      </w:r>
      <w:r w:rsidR="00E16166" w:rsidRPr="006E77B0">
        <w:t xml:space="preserve">27,47 </w:t>
      </w:r>
      <w:r w:rsidR="004C56BB" w:rsidRPr="006E77B0">
        <w:t>%</w:t>
      </w:r>
      <w:r w:rsidR="00C13F9D" w:rsidRPr="006E77B0">
        <w:t xml:space="preserve"> a rashodi za </w:t>
      </w:r>
      <w:r w:rsidR="00E16166" w:rsidRPr="006E77B0">
        <w:t xml:space="preserve">28,40 </w:t>
      </w:r>
      <w:r w:rsidR="00C13F9D" w:rsidRPr="006E77B0">
        <w:t>%.</w:t>
      </w:r>
      <w:r w:rsidR="007E0496" w:rsidRPr="006E77B0">
        <w:t xml:space="preserve"> Razlog povećanja je povećanje sredstava za plaće zaposlenika i</w:t>
      </w:r>
      <w:r w:rsidR="002852F5" w:rsidRPr="006E77B0">
        <w:t xml:space="preserve"> povećanje sredstava </w:t>
      </w:r>
      <w:r w:rsidR="007E0496" w:rsidRPr="006E77B0">
        <w:t>od učeničkog servisa.</w:t>
      </w:r>
    </w:p>
    <w:p w14:paraId="2F53C981" w14:textId="3C942C28" w:rsidR="003E1BAD" w:rsidRPr="006E77B0" w:rsidRDefault="003E1BAD" w:rsidP="000035AE">
      <w:pPr>
        <w:jc w:val="both"/>
      </w:pPr>
    </w:p>
    <w:p w14:paraId="3C6634E7" w14:textId="77777777" w:rsidR="00D824F4" w:rsidRPr="006E77B0" w:rsidRDefault="00D824F4" w:rsidP="000035AE">
      <w:pPr>
        <w:jc w:val="both"/>
      </w:pPr>
    </w:p>
    <w:p w14:paraId="38084FFE" w14:textId="7CE49EDE" w:rsidR="003E1BAD" w:rsidRPr="006E77B0" w:rsidRDefault="00DC2931" w:rsidP="00B71731">
      <w:pPr>
        <w:jc w:val="both"/>
        <w:rPr>
          <w:b/>
        </w:rPr>
      </w:pPr>
      <w:r w:rsidRPr="006E77B0">
        <w:rPr>
          <w:b/>
        </w:rPr>
        <w:t>1</w:t>
      </w:r>
      <w:r w:rsidR="00B71731" w:rsidRPr="006E77B0">
        <w:rPr>
          <w:b/>
        </w:rPr>
        <w:t xml:space="preserve">.1. </w:t>
      </w:r>
      <w:r w:rsidR="003B5684" w:rsidRPr="006E77B0">
        <w:rPr>
          <w:b/>
        </w:rPr>
        <w:t>Izvršenje prihoda i primitaka</w:t>
      </w:r>
    </w:p>
    <w:p w14:paraId="2C313B2D" w14:textId="6550E2FF" w:rsidR="004747C5" w:rsidRPr="006E77B0" w:rsidRDefault="004E6478" w:rsidP="004747C5">
      <w:pPr>
        <w:pStyle w:val="Bezproreda"/>
        <w:jc w:val="both"/>
      </w:pPr>
      <w:r w:rsidRPr="006E77B0">
        <w:t xml:space="preserve">U strukturi prihoda </w:t>
      </w:r>
      <w:r w:rsidR="002342E5" w:rsidRPr="006E77B0">
        <w:t xml:space="preserve">najznačajniji </w:t>
      </w:r>
      <w:r w:rsidRPr="006E77B0">
        <w:t xml:space="preserve">su prihodi pomoći </w:t>
      </w:r>
      <w:r w:rsidR="004747C5" w:rsidRPr="006E77B0">
        <w:t>iz inozemstva i od subjekata unutar općeg proračuna</w:t>
      </w:r>
      <w:r w:rsidR="00B034A8" w:rsidRPr="006E77B0">
        <w:t>-izvor financiranja 5-Pomoći</w:t>
      </w:r>
      <w:r w:rsidR="004747C5" w:rsidRPr="006E77B0">
        <w:t xml:space="preserve"> koji čine </w:t>
      </w:r>
      <w:r w:rsidR="00B034A8" w:rsidRPr="006E77B0">
        <w:t xml:space="preserve">87,69 </w:t>
      </w:r>
      <w:r w:rsidR="002342E5" w:rsidRPr="006E77B0">
        <w:t>%</w:t>
      </w:r>
      <w:r w:rsidR="00B034A8" w:rsidRPr="006E77B0">
        <w:t xml:space="preserve"> ukupnih prihoda</w:t>
      </w:r>
      <w:r w:rsidR="004747C5" w:rsidRPr="006E77B0">
        <w:t xml:space="preserve">. Prihodi </w:t>
      </w:r>
      <w:r w:rsidR="00B034A8" w:rsidRPr="006E77B0">
        <w:t>iz izvora financiranja 1-Opći prihodi i primici su drugi najveći prihod s udjelom od 7,95 % a odnose se na prihode iz nadležnog proračuna odnosno proračuna Brodsko-posavske županije.</w:t>
      </w:r>
      <w:r w:rsidR="004747C5" w:rsidRPr="006E77B0">
        <w:t xml:space="preserve"> </w:t>
      </w:r>
      <w:r w:rsidR="00B034A8" w:rsidRPr="006E77B0">
        <w:t>Vlastiti prihodi odnosno prihodi od prodaje proizvoda i robe te pruženih usluga sudjeluju sa 3,9</w:t>
      </w:r>
      <w:r w:rsidR="003B0D95" w:rsidRPr="006E77B0">
        <w:t>2</w:t>
      </w:r>
      <w:r w:rsidR="00B034A8" w:rsidRPr="006E77B0">
        <w:t>% u ukupnim prihodima</w:t>
      </w:r>
      <w:r w:rsidR="004E7192" w:rsidRPr="006E77B0">
        <w:t>. Ostali prihodi participiraju sa 0,44% a odnose se na prihode po posebnim propisima-izvor financiranja 4-Prihodi za posebne namjene te donacije-izvor financiranja 6.</w:t>
      </w:r>
      <w:r w:rsidR="001B7899" w:rsidRPr="006E77B0">
        <w:t xml:space="preserve"> </w:t>
      </w:r>
    </w:p>
    <w:p w14:paraId="1BD6636E" w14:textId="77777777" w:rsidR="006421D1" w:rsidRPr="006E77B0" w:rsidRDefault="006421D1" w:rsidP="004747C5">
      <w:pPr>
        <w:pStyle w:val="Bezproreda"/>
        <w:jc w:val="both"/>
      </w:pPr>
    </w:p>
    <w:p w14:paraId="77B7EBE9" w14:textId="0A03D5E5" w:rsidR="00CF4D88" w:rsidRPr="006E77B0" w:rsidRDefault="00B60939" w:rsidP="004747C5">
      <w:pPr>
        <w:pStyle w:val="Bezproreda"/>
        <w:jc w:val="both"/>
      </w:pPr>
      <w:r w:rsidRPr="006E77B0">
        <w:t xml:space="preserve">Pomoći iz inozemstva i od subjekata unutar općeg proračuna ostvareni su u iznosu </w:t>
      </w:r>
      <w:r w:rsidR="00E02AED" w:rsidRPr="006E77B0">
        <w:t>1.378.207,80</w:t>
      </w:r>
      <w:r w:rsidRPr="006E77B0">
        <w:t xml:space="preserve"> €  što je u odnosu na plan </w:t>
      </w:r>
      <w:r w:rsidR="00D91C1B" w:rsidRPr="006E77B0">
        <w:t>99,3</w:t>
      </w:r>
      <w:r w:rsidRPr="006E77B0">
        <w:t xml:space="preserve"> % , a u odnosu na isto razdoblje prethodne godine više za </w:t>
      </w:r>
      <w:r w:rsidR="001B7899" w:rsidRPr="006E77B0">
        <w:t>26,08</w:t>
      </w:r>
      <w:r w:rsidRPr="006E77B0">
        <w:t xml:space="preserve"> %. Najvećim dijelom odnose se na pomoći iz nenadležnih proračuna i to </w:t>
      </w:r>
      <w:r w:rsidR="001B7899" w:rsidRPr="006E77B0">
        <w:t>na sredstva</w:t>
      </w:r>
      <w:r w:rsidRPr="006E77B0">
        <w:t xml:space="preserve"> iz državnog proračuna za financiranje </w:t>
      </w:r>
      <w:r w:rsidR="001B7899" w:rsidRPr="006E77B0">
        <w:t xml:space="preserve">plaća i ostalih </w:t>
      </w:r>
      <w:r w:rsidRPr="006E77B0">
        <w:t xml:space="preserve">rashoda za zaposlene u iznosu </w:t>
      </w:r>
      <w:r w:rsidR="001B7899" w:rsidRPr="006E77B0">
        <w:t>1.347.117,08</w:t>
      </w:r>
      <w:r w:rsidRPr="006E77B0">
        <w:t xml:space="preserve"> €. Iz državnog proračuna ostvareni su i prihodi za opskrbu školske ustanove besplatnim zalihama menstrualnih higijenskih potrepština u iznosu </w:t>
      </w:r>
      <w:r w:rsidR="001B7899" w:rsidRPr="006E77B0">
        <w:t>403,33</w:t>
      </w:r>
      <w:r w:rsidRPr="006E77B0">
        <w:t xml:space="preserve"> €,</w:t>
      </w:r>
      <w:r w:rsidR="001B7899" w:rsidRPr="006E77B0">
        <w:t xml:space="preserve"> za nabavu psihološko dijagnostičkih sredstava u iznosu 414,00 €,</w:t>
      </w:r>
      <w:r w:rsidRPr="006E77B0">
        <w:t xml:space="preserve"> za financiranje povećanih troškova prijevoza učenika s teškoćama u razvoju u iznosu </w:t>
      </w:r>
      <w:r w:rsidR="001B7899" w:rsidRPr="006E77B0">
        <w:t>2.366,02</w:t>
      </w:r>
      <w:r w:rsidRPr="006E77B0">
        <w:t xml:space="preserve"> €</w:t>
      </w:r>
      <w:r w:rsidR="001B7899" w:rsidRPr="006E77B0">
        <w:t xml:space="preserve">, a </w:t>
      </w:r>
      <w:r w:rsidRPr="006E77B0">
        <w:t>od Agencije za odgoj i obrazovanje u iznosu 230,00 € za rad županijskog stručnog vijeća</w:t>
      </w:r>
      <w:r w:rsidR="001B7899" w:rsidRPr="006E77B0">
        <w:t>.</w:t>
      </w:r>
      <w:r w:rsidRPr="006E77B0">
        <w:t xml:space="preserve">  </w:t>
      </w:r>
      <w:r w:rsidRPr="006E77B0">
        <w:rPr>
          <w:rFonts w:cstheme="minorHAnsi"/>
        </w:rPr>
        <w:t xml:space="preserve">Iz državnog proračuna ostvarene su i kapitalne pomoći za nabavu udžbenika učenicima koji su članovi kućanstva koje je korisnik zajamčene minimalne naknade u iznosu </w:t>
      </w:r>
      <w:r w:rsidR="001B7899" w:rsidRPr="006E77B0">
        <w:rPr>
          <w:rFonts w:cstheme="minorHAnsi"/>
        </w:rPr>
        <w:t>191,92</w:t>
      </w:r>
      <w:r w:rsidRPr="006E77B0">
        <w:rPr>
          <w:rFonts w:cstheme="minorHAnsi"/>
        </w:rPr>
        <w:t xml:space="preserve"> € te za opremanje školske knjižnice lektirom i stručnom literaturom u iznosu </w:t>
      </w:r>
      <w:r w:rsidR="001B7899" w:rsidRPr="006E77B0">
        <w:rPr>
          <w:rFonts w:cstheme="minorHAnsi"/>
        </w:rPr>
        <w:t>540,00</w:t>
      </w:r>
      <w:r w:rsidRPr="006E77B0">
        <w:rPr>
          <w:rFonts w:cstheme="minorHAnsi"/>
        </w:rPr>
        <w:t xml:space="preserve"> €</w:t>
      </w:r>
      <w:r w:rsidR="00AB57AC" w:rsidRPr="006E77B0">
        <w:rPr>
          <w:rFonts w:cstheme="minorHAnsi"/>
        </w:rPr>
        <w:t>. Iz proračuna grada Nova Gradiška ostvarena je pomoć u iznosu 7.454,96 € za opremanje strukovnog laboratorija.</w:t>
      </w:r>
      <w:r w:rsidR="008A6C75" w:rsidRPr="006E77B0">
        <w:rPr>
          <w:rFonts w:cstheme="minorHAnsi"/>
        </w:rPr>
        <w:t xml:space="preserve"> </w:t>
      </w:r>
      <w:r w:rsidR="008466FD" w:rsidRPr="006E77B0">
        <w:t xml:space="preserve">Prijenosi između proračunskih korisnika istog proračuna ostvarene su u iznosu </w:t>
      </w:r>
      <w:r w:rsidR="001B7899" w:rsidRPr="006E77B0">
        <w:t>19.490,49</w:t>
      </w:r>
      <w:r w:rsidR="002342E5" w:rsidRPr="006E77B0">
        <w:t xml:space="preserve"> €</w:t>
      </w:r>
      <w:r w:rsidR="008466FD" w:rsidRPr="006E77B0">
        <w:t xml:space="preserve"> </w:t>
      </w:r>
      <w:r w:rsidR="00705B5E" w:rsidRPr="006E77B0">
        <w:t>a odnose se na prihode za plaće pomoćnika u nastavi za koje sredstva osigura</w:t>
      </w:r>
      <w:r w:rsidR="00FA41BC" w:rsidRPr="006E77B0">
        <w:t>v</w:t>
      </w:r>
      <w:r w:rsidR="00705B5E" w:rsidRPr="006E77B0">
        <w:t>a osnivač u sklopu projekta „S osmijehom u školu“ financiranog od strane Europskog socijalnog fonda.</w:t>
      </w:r>
      <w:r w:rsidR="00AB57AC" w:rsidRPr="006E77B0">
        <w:t xml:space="preserve"> </w:t>
      </w:r>
    </w:p>
    <w:p w14:paraId="65E23D2F" w14:textId="77777777" w:rsidR="00593B17" w:rsidRPr="006E77B0" w:rsidRDefault="00593B17" w:rsidP="004747C5">
      <w:pPr>
        <w:pStyle w:val="Bezproreda"/>
        <w:jc w:val="both"/>
      </w:pPr>
    </w:p>
    <w:p w14:paraId="33521183" w14:textId="6A8E687E" w:rsidR="00705B5E" w:rsidRPr="006E77B0" w:rsidRDefault="00705B5E" w:rsidP="004747C5">
      <w:pPr>
        <w:pStyle w:val="Bezproreda"/>
        <w:jc w:val="both"/>
      </w:pPr>
      <w:r w:rsidRPr="006E77B0">
        <w:t xml:space="preserve">Prihodi od upravnih i administrativnih pristojbi, pristojbi po posebnim propisima i naknada ostvareni su s </w:t>
      </w:r>
      <w:r w:rsidR="00AB57AC" w:rsidRPr="006E77B0">
        <w:t>1.865,45</w:t>
      </w:r>
      <w:r w:rsidR="000D0E83" w:rsidRPr="006E77B0">
        <w:t xml:space="preserve"> €</w:t>
      </w:r>
      <w:r w:rsidRPr="006E77B0">
        <w:t xml:space="preserve"> ili </w:t>
      </w:r>
      <w:r w:rsidR="00AB57AC" w:rsidRPr="006E77B0">
        <w:t xml:space="preserve">99,47 </w:t>
      </w:r>
      <w:r w:rsidRPr="006E77B0">
        <w:t>% plana</w:t>
      </w:r>
      <w:r w:rsidR="000D0E83" w:rsidRPr="006E77B0">
        <w:t xml:space="preserve">, a u odnosu na prethodnu godinu </w:t>
      </w:r>
      <w:r w:rsidR="00AB57AC" w:rsidRPr="006E77B0">
        <w:t>više</w:t>
      </w:r>
      <w:r w:rsidR="000D0E83" w:rsidRPr="006E77B0">
        <w:t xml:space="preserve"> za </w:t>
      </w:r>
      <w:r w:rsidR="00AB57AC" w:rsidRPr="006E77B0">
        <w:t>18,26</w:t>
      </w:r>
      <w:r w:rsidR="000D0E83" w:rsidRPr="006E77B0">
        <w:t xml:space="preserve">% </w:t>
      </w:r>
      <w:r w:rsidRPr="006E77B0">
        <w:t xml:space="preserve"> Odnose se na prihode </w:t>
      </w:r>
      <w:r w:rsidR="00AB57AC" w:rsidRPr="006E77B0">
        <w:t xml:space="preserve">od naplate štete od osiguravajućih društava u iznosu 265,45 € , </w:t>
      </w:r>
      <w:r w:rsidRPr="006E77B0">
        <w:t xml:space="preserve">od izrade duplikata svjedodžbi u iznosu </w:t>
      </w:r>
      <w:r w:rsidR="00AB57AC" w:rsidRPr="006E77B0">
        <w:t>290,00</w:t>
      </w:r>
      <w:r w:rsidR="000D0E83" w:rsidRPr="006E77B0">
        <w:t xml:space="preserve"> €</w:t>
      </w:r>
      <w:r w:rsidR="006711E6" w:rsidRPr="006E77B0">
        <w:t xml:space="preserve"> te sredstva od učenika za osiguranje u iznosu </w:t>
      </w:r>
      <w:r w:rsidR="000D0E83" w:rsidRPr="006E77B0">
        <w:t>1.3</w:t>
      </w:r>
      <w:r w:rsidR="00AB57AC" w:rsidRPr="006E77B0">
        <w:t>10</w:t>
      </w:r>
      <w:r w:rsidR="000D0E83" w:rsidRPr="006E77B0">
        <w:t>,00 €</w:t>
      </w:r>
      <w:r w:rsidR="00AB57AC" w:rsidRPr="006E77B0">
        <w:t>.</w:t>
      </w:r>
    </w:p>
    <w:p w14:paraId="6E769578" w14:textId="77777777" w:rsidR="00705B5E" w:rsidRPr="006E77B0" w:rsidRDefault="00705B5E" w:rsidP="004747C5">
      <w:pPr>
        <w:pStyle w:val="Bezproreda"/>
        <w:jc w:val="both"/>
      </w:pPr>
    </w:p>
    <w:p w14:paraId="53DACF01" w14:textId="7441CB13" w:rsidR="001965EC" w:rsidRPr="006E77B0" w:rsidRDefault="00705B5E" w:rsidP="00DB16B7">
      <w:pPr>
        <w:pStyle w:val="Bezproreda"/>
        <w:jc w:val="both"/>
      </w:pPr>
      <w:r w:rsidRPr="006E77B0">
        <w:t xml:space="preserve">Prihodi od prodaje proizvoda i robe te pruženih usluga </w:t>
      </w:r>
      <w:r w:rsidR="00FA41BC" w:rsidRPr="006E77B0">
        <w:t>i</w:t>
      </w:r>
      <w:r w:rsidRPr="006E77B0">
        <w:t xml:space="preserve"> prihodi od donacija </w:t>
      </w:r>
      <w:r w:rsidR="006711E6" w:rsidRPr="006E77B0">
        <w:t xml:space="preserve">realizirani su </w:t>
      </w:r>
      <w:r w:rsidRPr="006E77B0">
        <w:t xml:space="preserve">u iznosu </w:t>
      </w:r>
      <w:r w:rsidR="00AB57AC" w:rsidRPr="006E77B0">
        <w:t>66.672,92</w:t>
      </w:r>
      <w:r w:rsidR="000D0E83" w:rsidRPr="006E77B0">
        <w:t xml:space="preserve"> €</w:t>
      </w:r>
      <w:r w:rsidR="006711E6" w:rsidRPr="006E77B0">
        <w:t xml:space="preserve"> što je u odnosu na plan </w:t>
      </w:r>
      <w:r w:rsidR="00AB57AC" w:rsidRPr="006E77B0">
        <w:t xml:space="preserve">98,99 </w:t>
      </w:r>
      <w:r w:rsidR="006711E6" w:rsidRPr="006E77B0">
        <w:t xml:space="preserve">% , a u odnosu </w:t>
      </w:r>
      <w:r w:rsidRPr="006E77B0">
        <w:t>na prethodnu godinu</w:t>
      </w:r>
      <w:r w:rsidR="006711E6" w:rsidRPr="006E77B0">
        <w:t xml:space="preserve"> </w:t>
      </w:r>
      <w:r w:rsidRPr="006E77B0">
        <w:t xml:space="preserve">više za </w:t>
      </w:r>
      <w:r w:rsidR="00AB57AC" w:rsidRPr="006E77B0">
        <w:t>84,42</w:t>
      </w:r>
      <w:r w:rsidR="000D0E83" w:rsidRPr="006E77B0">
        <w:t>%</w:t>
      </w:r>
      <w:r w:rsidRPr="006E77B0">
        <w:t>, a najvećim dijelom odnose se</w:t>
      </w:r>
      <w:r w:rsidR="0088434D" w:rsidRPr="006E77B0">
        <w:t xml:space="preserve"> na</w:t>
      </w:r>
      <w:r w:rsidRPr="006E77B0">
        <w:t xml:space="preserve"> vlastite prihode</w:t>
      </w:r>
      <w:r w:rsidR="006A79A2" w:rsidRPr="006E77B0">
        <w:t xml:space="preserve"> </w:t>
      </w:r>
      <w:r w:rsidR="00DB16B7" w:rsidRPr="006E77B0">
        <w:t xml:space="preserve">i to </w:t>
      </w:r>
      <w:r w:rsidR="001965EC" w:rsidRPr="006E77B0">
        <w:t xml:space="preserve"> prihode od učeničkog servisa 35.129,81 €, </w:t>
      </w:r>
      <w:r w:rsidR="00DB16B7" w:rsidRPr="006E77B0">
        <w:t xml:space="preserve">prihode od </w:t>
      </w:r>
      <w:r w:rsidR="001965EC" w:rsidRPr="006E77B0">
        <w:t xml:space="preserve">zakupa dvorane i školskog prostora </w:t>
      </w:r>
      <w:r w:rsidR="00DB16B7" w:rsidRPr="006E77B0">
        <w:t xml:space="preserve">u iznosu </w:t>
      </w:r>
      <w:r w:rsidR="001965EC" w:rsidRPr="006E77B0">
        <w:t>26.143,25</w:t>
      </w:r>
      <w:r w:rsidR="00925B27" w:rsidRPr="006E77B0">
        <w:t xml:space="preserve"> €</w:t>
      </w:r>
      <w:r w:rsidR="000D0E83" w:rsidRPr="006E77B0">
        <w:t>,</w:t>
      </w:r>
      <w:r w:rsidR="00DB16B7" w:rsidRPr="006E77B0">
        <w:t xml:space="preserve"> </w:t>
      </w:r>
      <w:r w:rsidR="000D0E83" w:rsidRPr="006E77B0">
        <w:t xml:space="preserve">te prihode od </w:t>
      </w:r>
      <w:r w:rsidR="008A6C75" w:rsidRPr="006E77B0">
        <w:t>isporučene</w:t>
      </w:r>
      <w:r w:rsidR="000D0E83" w:rsidRPr="006E77B0">
        <w:t xml:space="preserve"> </w:t>
      </w:r>
      <w:proofErr w:type="spellStart"/>
      <w:r w:rsidR="000D0E83" w:rsidRPr="006E77B0">
        <w:t>el.energije</w:t>
      </w:r>
      <w:proofErr w:type="spellEnd"/>
      <w:r w:rsidR="008A6C75" w:rsidRPr="006E77B0">
        <w:t xml:space="preserve"> (solarna elektrana)</w:t>
      </w:r>
      <w:r w:rsidR="000D0E83" w:rsidRPr="006E77B0">
        <w:t xml:space="preserve"> </w:t>
      </w:r>
      <w:r w:rsidR="001965EC" w:rsidRPr="006E77B0">
        <w:t>292,6</w:t>
      </w:r>
      <w:r w:rsidR="008522FB" w:rsidRPr="006E77B0">
        <w:t>3</w:t>
      </w:r>
      <w:r w:rsidR="000D0E83" w:rsidRPr="006E77B0">
        <w:t xml:space="preserve"> </w:t>
      </w:r>
      <w:r w:rsidR="00925B27" w:rsidRPr="006E77B0">
        <w:t>€.</w:t>
      </w:r>
      <w:r w:rsidRPr="006E77B0">
        <w:t xml:space="preserve"> Prihodi od donacija iznose </w:t>
      </w:r>
      <w:r w:rsidR="001965EC" w:rsidRPr="006E77B0">
        <w:t>5.107,23</w:t>
      </w:r>
      <w:r w:rsidR="00925B27" w:rsidRPr="006E77B0">
        <w:t xml:space="preserve"> €</w:t>
      </w:r>
      <w:r w:rsidRPr="006E77B0">
        <w:t xml:space="preserve"> </w:t>
      </w:r>
      <w:r w:rsidR="00593B17" w:rsidRPr="006E77B0">
        <w:t>a odnose se na donacije</w:t>
      </w:r>
      <w:r w:rsidR="00B52617" w:rsidRPr="006E77B0">
        <w:t xml:space="preserve"> od trgovačkih društava za pokriće troškova učeničkih ekskurzija u iznosu </w:t>
      </w:r>
      <w:r w:rsidR="001965EC" w:rsidRPr="006E77B0">
        <w:t>2.640,00</w:t>
      </w:r>
      <w:r w:rsidR="00B52617" w:rsidRPr="006E77B0">
        <w:t xml:space="preserve"> €, </w:t>
      </w:r>
      <w:r w:rsidR="001965EC" w:rsidRPr="006E77B0">
        <w:t xml:space="preserve">te </w:t>
      </w:r>
      <w:r w:rsidR="00B52617" w:rsidRPr="006E77B0">
        <w:t xml:space="preserve">donacijski natječaj HT-a „Generacija </w:t>
      </w:r>
      <w:proofErr w:type="spellStart"/>
      <w:r w:rsidR="00B52617" w:rsidRPr="006E77B0">
        <w:t>Now</w:t>
      </w:r>
      <w:proofErr w:type="spellEnd"/>
      <w:r w:rsidR="00B52617" w:rsidRPr="006E77B0">
        <w:t xml:space="preserve">“ </w:t>
      </w:r>
      <w:r w:rsidR="001965EC" w:rsidRPr="006E77B0">
        <w:t>100</w:t>
      </w:r>
      <w:r w:rsidR="00B52617" w:rsidRPr="006E77B0">
        <w:t>,00 €</w:t>
      </w:r>
      <w:r w:rsidR="001965EC" w:rsidRPr="006E77B0">
        <w:t>. O</w:t>
      </w:r>
      <w:r w:rsidR="002F7A1C" w:rsidRPr="006E77B0">
        <w:t>d</w:t>
      </w:r>
      <w:r w:rsidR="001965EC" w:rsidRPr="006E77B0">
        <w:t xml:space="preserve"> ŠSS BPŽ ostvarena je donacija u iznosu 283,54 € za rad školskog sportskog društva, a Informativno pravni centar Slavonski Brod donirao nam je projektor u vrijednosti 300,00 €</w:t>
      </w:r>
      <w:r w:rsidR="002F7A1C" w:rsidRPr="006E77B0">
        <w:t>. Od pravnih i fizičkih osoba ostvarena je kapitalna donacija za izgradnju lifta za učenike s teškoćama u razvoju u iznosu 1.783,69 €</w:t>
      </w:r>
    </w:p>
    <w:p w14:paraId="6D1B1DC5" w14:textId="77777777" w:rsidR="002F7A1C" w:rsidRPr="006E77B0" w:rsidRDefault="002F7A1C" w:rsidP="006421D1">
      <w:pPr>
        <w:jc w:val="both"/>
      </w:pPr>
    </w:p>
    <w:p w14:paraId="0309A40B" w14:textId="5D1C5AB6" w:rsidR="006F12E5" w:rsidRPr="006E77B0" w:rsidRDefault="00593B17" w:rsidP="002F7A1C">
      <w:pPr>
        <w:jc w:val="both"/>
      </w:pPr>
      <w:r w:rsidRPr="006E77B0">
        <w:lastRenderedPageBreak/>
        <w:t xml:space="preserve">U skupini prihoda </w:t>
      </w:r>
      <w:r w:rsidR="006F12E5" w:rsidRPr="006E77B0">
        <w:t xml:space="preserve">iz nadležnog proračuna </w:t>
      </w:r>
      <w:r w:rsidRPr="006E77B0">
        <w:t>evidentirani su prihodi od</w:t>
      </w:r>
      <w:r w:rsidR="006F12E5" w:rsidRPr="006E77B0">
        <w:t xml:space="preserve"> Brodsko-posavske županije temeljem Odluke o financiranju decentraliziranih funkcija u obrazovanju za financiranje materijalnih i financijskih rashoda</w:t>
      </w:r>
      <w:r w:rsidR="002F7A1C" w:rsidRPr="006E77B0">
        <w:t xml:space="preserve"> u iznosu 116.306,29 € te prihodi od BPŽ za plaće i materijalna prava pomoćnika u nastavi u iznosu 8.567,84 €. U usporedbi s izvještajnim razdobljem prethodne godine ovi prihodi su ostvareni u većem iznosu za 22.816,12 € ili 22,36 %. U odnosu na plan za 2024. godinu ostvareno je 97,83 %</w:t>
      </w:r>
      <w:r w:rsidR="003B5684" w:rsidRPr="006E77B0">
        <w:t xml:space="preserve"> plana.</w:t>
      </w:r>
    </w:p>
    <w:p w14:paraId="23E6DBB7" w14:textId="77777777" w:rsidR="00D824F4" w:rsidRPr="006E77B0" w:rsidRDefault="00D824F4" w:rsidP="00B71731">
      <w:pPr>
        <w:pStyle w:val="Bezproreda"/>
        <w:jc w:val="both"/>
        <w:rPr>
          <w:b/>
        </w:rPr>
      </w:pPr>
    </w:p>
    <w:p w14:paraId="6A87CB47" w14:textId="77777777" w:rsidR="00D824F4" w:rsidRPr="006E77B0" w:rsidRDefault="00D824F4" w:rsidP="00B71731">
      <w:pPr>
        <w:pStyle w:val="Bezproreda"/>
        <w:jc w:val="both"/>
        <w:rPr>
          <w:b/>
        </w:rPr>
      </w:pPr>
    </w:p>
    <w:p w14:paraId="768E64CA" w14:textId="56FB64A4" w:rsidR="008466FD" w:rsidRPr="006E77B0" w:rsidRDefault="003B5684" w:rsidP="00B71731">
      <w:pPr>
        <w:pStyle w:val="Bezproreda"/>
        <w:jc w:val="both"/>
        <w:rPr>
          <w:b/>
        </w:rPr>
      </w:pPr>
      <w:r w:rsidRPr="006E77B0">
        <w:rPr>
          <w:b/>
        </w:rPr>
        <w:t>1</w:t>
      </w:r>
      <w:r w:rsidR="00B71731" w:rsidRPr="006E77B0">
        <w:rPr>
          <w:b/>
        </w:rPr>
        <w:t xml:space="preserve">.2. </w:t>
      </w:r>
      <w:r w:rsidRPr="006E77B0">
        <w:rPr>
          <w:b/>
        </w:rPr>
        <w:t>Izvršenje rashoda i izdataka</w:t>
      </w:r>
    </w:p>
    <w:p w14:paraId="4FBD9F34" w14:textId="77777777" w:rsidR="00AC607C" w:rsidRPr="006E77B0" w:rsidRDefault="00AC607C" w:rsidP="00B71731">
      <w:pPr>
        <w:pStyle w:val="Bezproreda"/>
        <w:jc w:val="both"/>
      </w:pPr>
    </w:p>
    <w:p w14:paraId="70D93101" w14:textId="5C5C5FF8" w:rsidR="00B052BF" w:rsidRPr="006E77B0" w:rsidRDefault="00B052BF" w:rsidP="00B052BF">
      <w:pPr>
        <w:pStyle w:val="Bezproreda"/>
        <w:jc w:val="both"/>
      </w:pPr>
      <w:r w:rsidRPr="006E77B0">
        <w:t xml:space="preserve">U strukturi rashoda najveći su rashodi za zaposlene koji čine </w:t>
      </w:r>
      <w:r w:rsidR="003B5684" w:rsidRPr="006E77B0">
        <w:t xml:space="preserve">87,83 </w:t>
      </w:r>
      <w:r w:rsidRPr="006E77B0">
        <w:t>% ukupnih rashoda</w:t>
      </w:r>
      <w:r w:rsidR="003B5684" w:rsidRPr="006E77B0">
        <w:t>. Materijalni rashodi sudjeluju sa 10,95 % u ukupnim rashodima,  a rashodi za nabavu nefinancijske imovine sa 1,19%. Ostali rashodi čine 0,03 % ukupnih rashoda.</w:t>
      </w:r>
    </w:p>
    <w:p w14:paraId="4C60E2BA" w14:textId="77777777" w:rsidR="006421D1" w:rsidRPr="006E77B0" w:rsidRDefault="006421D1" w:rsidP="00B052BF">
      <w:pPr>
        <w:pStyle w:val="Bezproreda"/>
        <w:jc w:val="both"/>
      </w:pPr>
    </w:p>
    <w:p w14:paraId="59032BF6" w14:textId="15F2B6EC" w:rsidR="008B0167" w:rsidRPr="006E77B0" w:rsidRDefault="00CF4312" w:rsidP="00D664D1">
      <w:pPr>
        <w:jc w:val="both"/>
      </w:pPr>
      <w:r w:rsidRPr="006E77B0">
        <w:t>Ra</w:t>
      </w:r>
      <w:r w:rsidR="00AC607C" w:rsidRPr="006E77B0">
        <w:t>shodi za zaposlene ostvareni su u iznosu</w:t>
      </w:r>
      <w:r w:rsidR="00B052BF" w:rsidRPr="006E77B0">
        <w:t xml:space="preserve"> od</w:t>
      </w:r>
      <w:r w:rsidR="00AC607C" w:rsidRPr="006E77B0">
        <w:t xml:space="preserve"> </w:t>
      </w:r>
      <w:r w:rsidR="008B5B91" w:rsidRPr="006E77B0">
        <w:t>1.380.344,35</w:t>
      </w:r>
      <w:r w:rsidR="00617A6D" w:rsidRPr="006E77B0">
        <w:t xml:space="preserve"> €</w:t>
      </w:r>
      <w:r w:rsidR="00AC607C" w:rsidRPr="006E77B0">
        <w:t xml:space="preserve">  što je u odnosu</w:t>
      </w:r>
      <w:r w:rsidR="00EE3C2A" w:rsidRPr="006E77B0">
        <w:t xml:space="preserve"> na plan </w:t>
      </w:r>
      <w:r w:rsidR="00617A6D" w:rsidRPr="006E77B0">
        <w:t>99,</w:t>
      </w:r>
      <w:r w:rsidR="008B0167" w:rsidRPr="006E77B0">
        <w:t>60</w:t>
      </w:r>
      <w:r w:rsidR="00EE3C2A" w:rsidRPr="006E77B0">
        <w:t>%, a u odnosu</w:t>
      </w:r>
      <w:r w:rsidR="00AC607C" w:rsidRPr="006E77B0">
        <w:t xml:space="preserve"> na prethodnu godinu više za </w:t>
      </w:r>
      <w:r w:rsidR="008B0167" w:rsidRPr="006E77B0">
        <w:t xml:space="preserve">27,14 </w:t>
      </w:r>
      <w:r w:rsidR="00AC607C" w:rsidRPr="006E77B0">
        <w:t>%</w:t>
      </w:r>
      <w:r w:rsidR="007D7F18" w:rsidRPr="006E77B0">
        <w:t>. Odnose se na bruto plaće zaposlenika uvećane za doprinose na plaću te materijalna prava zaposlenih</w:t>
      </w:r>
      <w:r w:rsidR="00617A6D" w:rsidRPr="006E77B0">
        <w:t>.</w:t>
      </w:r>
      <w:r w:rsidR="00B052BF" w:rsidRPr="006E77B0">
        <w:t xml:space="preserve"> </w:t>
      </w:r>
      <w:r w:rsidR="008B0167" w:rsidRPr="006E77B0">
        <w:t>97,59</w:t>
      </w:r>
      <w:r w:rsidR="007D7F18" w:rsidRPr="006E77B0">
        <w:t xml:space="preserve"> % </w:t>
      </w:r>
      <w:r w:rsidR="008B0167" w:rsidRPr="006E77B0">
        <w:t>rashoda za zaposlene</w:t>
      </w:r>
      <w:r w:rsidR="007D7F18" w:rsidRPr="006E77B0">
        <w:t xml:space="preserve"> financira se iz državnog proračuna odnosno proračuna Ministarstva znanosti</w:t>
      </w:r>
      <w:r w:rsidR="008B0167" w:rsidRPr="006E77B0">
        <w:t>, obrazovanja i mladih-izvor financiranja 5-Pomoći, a razlog povećanja ovih rashoda je povećanje koeficijenata za ob</w:t>
      </w:r>
      <w:r w:rsidR="00B953E9" w:rsidRPr="006E77B0">
        <w:t>r</w:t>
      </w:r>
      <w:r w:rsidR="008B0167" w:rsidRPr="006E77B0">
        <w:t>ačun plaća od 01. ožujka 2024. godine</w:t>
      </w:r>
    </w:p>
    <w:p w14:paraId="656731AA" w14:textId="5F60683C" w:rsidR="007D7F18" w:rsidRPr="006E77B0" w:rsidRDefault="008B0167" w:rsidP="00D664D1">
      <w:pPr>
        <w:jc w:val="both"/>
      </w:pPr>
      <w:r w:rsidRPr="006E77B0">
        <w:t>Ma</w:t>
      </w:r>
      <w:r w:rsidR="007D7F18" w:rsidRPr="006E77B0">
        <w:t xml:space="preserve">terijalni rashodi realizirani su u iznosu </w:t>
      </w:r>
      <w:r w:rsidRPr="006E77B0">
        <w:t>172.066,50</w:t>
      </w:r>
      <w:r w:rsidR="00617A6D" w:rsidRPr="006E77B0">
        <w:t xml:space="preserve"> €</w:t>
      </w:r>
      <w:r w:rsidR="007D7F18" w:rsidRPr="006E77B0">
        <w:t xml:space="preserve"> što je</w:t>
      </w:r>
      <w:r w:rsidR="00266A94" w:rsidRPr="006E77B0">
        <w:t xml:space="preserve"> u odnosu na plan </w:t>
      </w:r>
      <w:r w:rsidRPr="006E77B0">
        <w:t xml:space="preserve">95,54 </w:t>
      </w:r>
      <w:r w:rsidR="00266A94" w:rsidRPr="006E77B0">
        <w:t xml:space="preserve">% odnosno u usporedbi s istim razdobljem prethodne </w:t>
      </w:r>
      <w:r w:rsidR="00591434" w:rsidRPr="006E77B0">
        <w:t>202</w:t>
      </w:r>
      <w:r w:rsidRPr="006E77B0">
        <w:t>3</w:t>
      </w:r>
      <w:r w:rsidR="00266A94" w:rsidRPr="006E77B0">
        <w:t xml:space="preserve">. godine </w:t>
      </w:r>
      <w:r w:rsidRPr="006E77B0">
        <w:t>više za 31,14</w:t>
      </w:r>
      <w:r w:rsidR="007D7F18" w:rsidRPr="006E77B0">
        <w:t>%</w:t>
      </w:r>
      <w:r w:rsidRPr="006E77B0">
        <w:t xml:space="preserve"> ili 40.862,49 €.</w:t>
      </w:r>
      <w:r w:rsidR="007D7F18" w:rsidRPr="006E77B0">
        <w:t xml:space="preserve"> Odnose se na rashode za potrebe redovnog poslovanja koji se najvećim dijelom financiraju iz županijskog proračuna</w:t>
      </w:r>
      <w:r w:rsidRPr="006E77B0">
        <w:t xml:space="preserve"> odnosno iz izvora financiranja 1-Opći prihodi i primici.</w:t>
      </w:r>
    </w:p>
    <w:p w14:paraId="42E9374D" w14:textId="20A4AAB7" w:rsidR="007D7F18" w:rsidRPr="006E77B0" w:rsidRDefault="007D7F18" w:rsidP="00D664D1">
      <w:pPr>
        <w:jc w:val="both"/>
      </w:pPr>
      <w:r w:rsidRPr="006E77B0">
        <w:t xml:space="preserve">Financijski rashodi ostvareni su </w:t>
      </w:r>
      <w:r w:rsidR="00D663E3" w:rsidRPr="006E77B0">
        <w:t>s</w:t>
      </w:r>
      <w:r w:rsidRPr="006E77B0">
        <w:t xml:space="preserve"> </w:t>
      </w:r>
      <w:r w:rsidR="008B0167" w:rsidRPr="006E77B0">
        <w:t>6,43</w:t>
      </w:r>
      <w:r w:rsidR="00591434" w:rsidRPr="006E77B0">
        <w:t xml:space="preserve"> €</w:t>
      </w:r>
      <w:r w:rsidR="00D663E3" w:rsidRPr="006E77B0">
        <w:t xml:space="preserve"> što čini </w:t>
      </w:r>
      <w:r w:rsidR="008B0167" w:rsidRPr="006E77B0">
        <w:t>42,87</w:t>
      </w:r>
      <w:r w:rsidR="00266A94" w:rsidRPr="006E77B0">
        <w:t xml:space="preserve"> </w:t>
      </w:r>
      <w:r w:rsidR="00D663E3" w:rsidRPr="006E77B0">
        <w:t xml:space="preserve">% </w:t>
      </w:r>
      <w:r w:rsidR="004B40F6" w:rsidRPr="006E77B0">
        <w:t>plana, a</w:t>
      </w:r>
      <w:r w:rsidRPr="006E77B0">
        <w:t xml:space="preserve"> u odnosu na isto razdoblje prethodne godine </w:t>
      </w:r>
      <w:r w:rsidR="008B0167" w:rsidRPr="006E77B0">
        <w:t>više z</w:t>
      </w:r>
      <w:r w:rsidRPr="006E77B0">
        <w:t xml:space="preserve">a </w:t>
      </w:r>
      <w:r w:rsidR="008B0167" w:rsidRPr="006E77B0">
        <w:t xml:space="preserve">31,22 </w:t>
      </w:r>
      <w:r w:rsidRPr="006E77B0">
        <w:t xml:space="preserve">%. </w:t>
      </w:r>
      <w:r w:rsidR="00591434" w:rsidRPr="006E77B0">
        <w:t>Ovi rashodi odnose se na troškove zateznih kamata zbog kašnjenja u plaćanju materijalnih obveza</w:t>
      </w:r>
      <w:r w:rsidR="002273DA" w:rsidRPr="006E77B0">
        <w:t xml:space="preserve"> te troškove naknade za platni promet za uplatu pristojbe u sudski registar.</w:t>
      </w:r>
      <w:r w:rsidR="00591434" w:rsidRPr="006E77B0">
        <w:t xml:space="preserve"> </w:t>
      </w:r>
    </w:p>
    <w:p w14:paraId="07FB5812" w14:textId="3A893329" w:rsidR="00591434" w:rsidRPr="006E77B0" w:rsidRDefault="00D579AA" w:rsidP="00D664D1">
      <w:pPr>
        <w:jc w:val="both"/>
      </w:pPr>
      <w:r w:rsidRPr="006E77B0">
        <w:t xml:space="preserve">U skupini ostalih rashoda evidentirane su tekuće donacije učenicama za higijenske potrepštine </w:t>
      </w:r>
      <w:r w:rsidR="002273DA" w:rsidRPr="006E77B0">
        <w:t xml:space="preserve">u iznosu 403,33 € a financirani su </w:t>
      </w:r>
      <w:r w:rsidRPr="006E77B0">
        <w:t>iz sredstava pomoći državnog proračuna odnosno Ministarstva rada, mirovinskog sustava, obitelji i socijalne politike</w:t>
      </w:r>
      <w:r w:rsidR="0015486A" w:rsidRPr="006E77B0">
        <w:t>-izvor financiranja 5-Pomoći</w:t>
      </w:r>
      <w:r w:rsidRPr="006E77B0">
        <w:t xml:space="preserve"> Ovi rashodi su realizirani sa </w:t>
      </w:r>
      <w:r w:rsidR="002273DA" w:rsidRPr="006E77B0">
        <w:t>99,94</w:t>
      </w:r>
      <w:r w:rsidRPr="006E77B0">
        <w:t xml:space="preserve"> % plana a u </w:t>
      </w:r>
      <w:r w:rsidR="002273DA" w:rsidRPr="006E77B0">
        <w:t>odnosu na prethodnu godinu veći su za 0,85 %.</w:t>
      </w:r>
    </w:p>
    <w:p w14:paraId="42E715BD" w14:textId="6B3A8948" w:rsidR="002273DA" w:rsidRPr="006E77B0" w:rsidRDefault="00E13B5E" w:rsidP="005F2ACF">
      <w:pPr>
        <w:jc w:val="both"/>
        <w:rPr>
          <w:rFonts w:eastAsia="Times New Roman" w:cstheme="minorHAnsi"/>
          <w:bCs/>
          <w:iCs/>
          <w:color w:val="000000"/>
          <w:lang w:eastAsia="hr-HR"/>
        </w:rPr>
      </w:pPr>
      <w:r w:rsidRPr="006E77B0">
        <w:t xml:space="preserve">U skupini rashoda za nabavu nefinancijske imovine evidentirani su rashodi za nabavu proizvedene dugotrajne imovine u iznosu </w:t>
      </w:r>
      <w:r w:rsidR="002273DA" w:rsidRPr="006E77B0">
        <w:t>18</w:t>
      </w:r>
      <w:r w:rsidR="00A27ED8" w:rsidRPr="006E77B0">
        <w:t>.</w:t>
      </w:r>
      <w:r w:rsidR="002273DA" w:rsidRPr="006E77B0">
        <w:t>745,96</w:t>
      </w:r>
      <w:r w:rsidR="00D579AA" w:rsidRPr="006E77B0">
        <w:t xml:space="preserve"> €</w:t>
      </w:r>
      <w:r w:rsidR="003E4759" w:rsidRPr="006E77B0">
        <w:t>.</w:t>
      </w:r>
      <w:r w:rsidR="00266A94" w:rsidRPr="006E77B0">
        <w:t xml:space="preserve"> </w:t>
      </w:r>
      <w:r w:rsidR="00A27ED8" w:rsidRPr="006E77B0">
        <w:t>Ovi rashodi su značajno povećani u odnosu na isto razdoblje prethodne godine. U odnosu na planirano izvršeno je 57,55% rashoda</w:t>
      </w:r>
      <w:r w:rsidR="001A5B8E" w:rsidRPr="006E77B0">
        <w:t>. Tijekom godine učionice smo opremili novom opremom (pametne ploče, stolovi i klupe, školske bijele ploče, klima uređaji….) u vrijednosti 16.947,27 €.</w:t>
      </w:r>
      <w:r w:rsidR="008048CF" w:rsidRPr="006E77B0">
        <w:t xml:space="preserve"> </w:t>
      </w:r>
      <w:r w:rsidR="001A5B8E" w:rsidRPr="006E77B0">
        <w:t>Nabava je financirana iz vlastitih prihoda škole te iz sredstava pomoći grada Nova Gradiška.</w:t>
      </w:r>
      <w:r w:rsidR="005F2ACF" w:rsidRPr="006E77B0">
        <w:t xml:space="preserve"> </w:t>
      </w:r>
      <w:r w:rsidR="002273DA" w:rsidRPr="006E77B0">
        <w:rPr>
          <w:rFonts w:eastAsia="Times New Roman" w:cstheme="minorHAnsi"/>
          <w:bCs/>
          <w:iCs/>
          <w:color w:val="000000"/>
          <w:lang w:eastAsia="hr-HR"/>
        </w:rPr>
        <w:t>Za školsku knjižnicu nabavljena je lektira i stručna literatura u vrijednosti 1.606,77 € koja je financirana iz sredstava državnog proračuna u iznosu 540,00 € te iz vlastitih prihoda škole</w:t>
      </w:r>
      <w:r w:rsidR="002273DA" w:rsidRPr="006E77B0">
        <w:rPr>
          <w:rFonts w:eastAsia="Times New Roman" w:cstheme="minorHAnsi"/>
          <w:color w:val="000000"/>
          <w:lang w:eastAsia="hr-HR"/>
        </w:rPr>
        <w:t xml:space="preserve">. Izdaci za nabavu udžbenika za učenike slabijeg </w:t>
      </w:r>
      <w:proofErr w:type="spellStart"/>
      <w:r w:rsidR="002273DA" w:rsidRPr="006E77B0">
        <w:rPr>
          <w:rFonts w:eastAsia="Times New Roman" w:cstheme="minorHAnsi"/>
          <w:color w:val="000000"/>
          <w:lang w:eastAsia="hr-HR"/>
        </w:rPr>
        <w:t>socio</w:t>
      </w:r>
      <w:proofErr w:type="spellEnd"/>
      <w:r w:rsidR="002273DA" w:rsidRPr="006E77B0">
        <w:rPr>
          <w:rFonts w:eastAsia="Times New Roman" w:cstheme="minorHAnsi"/>
          <w:color w:val="000000"/>
          <w:lang w:eastAsia="hr-HR"/>
        </w:rPr>
        <w:t>-ekonomskog statusa iskazani su u iznosu 191,92 € a sredstva za financiranje ove namjene su također ostvarena iz državnog proračuna.</w:t>
      </w:r>
    </w:p>
    <w:p w14:paraId="37A05407" w14:textId="77777777" w:rsidR="00B71731" w:rsidRPr="006E77B0" w:rsidRDefault="00B71731" w:rsidP="00D664D1">
      <w:pPr>
        <w:jc w:val="both"/>
      </w:pPr>
    </w:p>
    <w:p w14:paraId="35CC9FA7" w14:textId="77777777" w:rsidR="00276C8E" w:rsidRPr="006E77B0" w:rsidRDefault="00276C8E" w:rsidP="00D664D1">
      <w:pPr>
        <w:jc w:val="both"/>
        <w:rPr>
          <w:b/>
        </w:rPr>
      </w:pPr>
    </w:p>
    <w:p w14:paraId="1CC4636B" w14:textId="0B24A7FD" w:rsidR="00E14B61" w:rsidRPr="006E77B0" w:rsidRDefault="005F2ACF" w:rsidP="00D664D1">
      <w:pPr>
        <w:jc w:val="both"/>
        <w:rPr>
          <w:b/>
        </w:rPr>
      </w:pPr>
      <w:r w:rsidRPr="006E77B0">
        <w:rPr>
          <w:b/>
        </w:rPr>
        <w:lastRenderedPageBreak/>
        <w:t>2</w:t>
      </w:r>
      <w:r w:rsidR="00B71731" w:rsidRPr="006E77B0">
        <w:rPr>
          <w:b/>
        </w:rPr>
        <w:t>. OBRAZLOŽENJE VIŠKA/MANJKA</w:t>
      </w:r>
    </w:p>
    <w:p w14:paraId="3526AF4D" w14:textId="3D942630" w:rsidR="00D70287" w:rsidRPr="006E77B0" w:rsidRDefault="00B71731" w:rsidP="00D664D1">
      <w:pPr>
        <w:jc w:val="both"/>
      </w:pPr>
      <w:r w:rsidRPr="006E77B0">
        <w:t xml:space="preserve">Što se tiče </w:t>
      </w:r>
      <w:r w:rsidR="00255D9F" w:rsidRPr="006E77B0">
        <w:t>ostvarenog rezultata,</w:t>
      </w:r>
      <w:r w:rsidRPr="006E77B0">
        <w:t xml:space="preserve"> u </w:t>
      </w:r>
      <w:r w:rsidR="009B35B6" w:rsidRPr="006E77B0">
        <w:t>202</w:t>
      </w:r>
      <w:r w:rsidR="005F2ACF" w:rsidRPr="006E77B0">
        <w:t>4</w:t>
      </w:r>
      <w:r w:rsidRPr="006E77B0">
        <w:t xml:space="preserve">. </w:t>
      </w:r>
      <w:r w:rsidR="00255D9F" w:rsidRPr="006E77B0">
        <w:t>g</w:t>
      </w:r>
      <w:r w:rsidRPr="006E77B0">
        <w:t xml:space="preserve">odini ostvaren je </w:t>
      </w:r>
      <w:r w:rsidR="009B35B6" w:rsidRPr="006E77B0">
        <w:t xml:space="preserve">višak </w:t>
      </w:r>
      <w:r w:rsidRPr="006E77B0">
        <w:t xml:space="preserve">prihoda tekućeg razdoblja u iznosu </w:t>
      </w:r>
      <w:r w:rsidR="005F2ACF" w:rsidRPr="006E77B0">
        <w:t>53,73</w:t>
      </w:r>
      <w:r w:rsidR="003E4759" w:rsidRPr="006E77B0">
        <w:t xml:space="preserve"> €,</w:t>
      </w:r>
      <w:r w:rsidR="00255D9F" w:rsidRPr="006E77B0">
        <w:t xml:space="preserve"> a </w:t>
      </w:r>
      <w:r w:rsidR="007F7368" w:rsidRPr="006E77B0">
        <w:t xml:space="preserve">uzimajući u obzir preneseni višak prihoda za </w:t>
      </w:r>
      <w:r w:rsidR="009B35B6" w:rsidRPr="006E77B0">
        <w:t>202</w:t>
      </w:r>
      <w:r w:rsidR="005F2ACF" w:rsidRPr="006E77B0">
        <w:t>3</w:t>
      </w:r>
      <w:r w:rsidR="003E4759" w:rsidRPr="006E77B0">
        <w:t>.</w:t>
      </w:r>
      <w:r w:rsidR="007F7368" w:rsidRPr="006E77B0">
        <w:t xml:space="preserve"> godinu u iznosu </w:t>
      </w:r>
      <w:r w:rsidR="005F2ACF" w:rsidRPr="006E77B0">
        <w:t>14.166,31</w:t>
      </w:r>
      <w:r w:rsidR="009B35B6" w:rsidRPr="006E77B0">
        <w:t xml:space="preserve"> €</w:t>
      </w:r>
      <w:r w:rsidR="007F7368" w:rsidRPr="006E77B0">
        <w:t xml:space="preserve"> ostvaren je ukupan višak prihoda u iznosu </w:t>
      </w:r>
      <w:r w:rsidR="005F2ACF" w:rsidRPr="006E77B0">
        <w:t>14.220,04</w:t>
      </w:r>
      <w:r w:rsidR="009B35B6" w:rsidRPr="006E77B0">
        <w:t xml:space="preserve"> </w:t>
      </w:r>
      <w:r w:rsidR="0090474E" w:rsidRPr="006E77B0">
        <w:t>€.</w:t>
      </w:r>
    </w:p>
    <w:p w14:paraId="031F486D" w14:textId="2D08CFFC" w:rsidR="005F2ACF" w:rsidRPr="006E77B0" w:rsidRDefault="005F2ACF" w:rsidP="00D664D1">
      <w:pPr>
        <w:jc w:val="both"/>
      </w:pPr>
      <w:r w:rsidRPr="006E77B0">
        <w:t>Preneseni višak iz prethodne godine odnosi se na</w:t>
      </w:r>
      <w:r w:rsidR="00097C13" w:rsidRPr="006E77B0">
        <w:t xml:space="preserve"> neutrošene vlastite i namjenske prihode i to:</w:t>
      </w:r>
    </w:p>
    <w:tbl>
      <w:tblPr>
        <w:tblStyle w:val="Reetkatablic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1701"/>
      </w:tblGrid>
      <w:tr w:rsidR="00097C13" w:rsidRPr="006E77B0" w14:paraId="5FCC5A0C" w14:textId="77777777" w:rsidTr="004C6E8F">
        <w:tc>
          <w:tcPr>
            <w:tcW w:w="2693" w:type="dxa"/>
          </w:tcPr>
          <w:p w14:paraId="35E5A546" w14:textId="300580D6" w:rsidR="00097C13" w:rsidRPr="006E77B0" w:rsidRDefault="00097C13" w:rsidP="00D664D1">
            <w:pPr>
              <w:jc w:val="both"/>
            </w:pPr>
            <w:r w:rsidRPr="006E77B0">
              <w:t>Vlastiti prihodi</w:t>
            </w:r>
          </w:p>
        </w:tc>
        <w:tc>
          <w:tcPr>
            <w:tcW w:w="1701" w:type="dxa"/>
          </w:tcPr>
          <w:p w14:paraId="460242E0" w14:textId="238ACB22" w:rsidR="00097C13" w:rsidRPr="006E77B0" w:rsidRDefault="00097C13" w:rsidP="00097C13">
            <w:pPr>
              <w:jc w:val="right"/>
            </w:pPr>
            <w:r w:rsidRPr="006E77B0">
              <w:t>13.530,43</w:t>
            </w:r>
            <w:r w:rsidR="004C6E8F">
              <w:t xml:space="preserve"> €</w:t>
            </w:r>
          </w:p>
        </w:tc>
      </w:tr>
      <w:tr w:rsidR="00097C13" w:rsidRPr="006E77B0" w14:paraId="79287F76" w14:textId="77777777" w:rsidTr="004C6E8F">
        <w:tc>
          <w:tcPr>
            <w:tcW w:w="2693" w:type="dxa"/>
          </w:tcPr>
          <w:p w14:paraId="3DA773EC" w14:textId="2A224CDD" w:rsidR="00097C13" w:rsidRPr="006E77B0" w:rsidRDefault="00097C13" w:rsidP="00D664D1">
            <w:pPr>
              <w:jc w:val="both"/>
            </w:pPr>
            <w:r w:rsidRPr="006E77B0">
              <w:t>Prihodi posebne namjene</w:t>
            </w:r>
          </w:p>
        </w:tc>
        <w:tc>
          <w:tcPr>
            <w:tcW w:w="1701" w:type="dxa"/>
          </w:tcPr>
          <w:p w14:paraId="5C16FE59" w14:textId="6B894292" w:rsidR="00097C13" w:rsidRPr="006E77B0" w:rsidRDefault="00097C13" w:rsidP="00097C13">
            <w:pPr>
              <w:jc w:val="right"/>
            </w:pPr>
            <w:r w:rsidRPr="006E77B0">
              <w:t>53,12</w:t>
            </w:r>
            <w:r w:rsidR="004C6E8F">
              <w:t xml:space="preserve"> €</w:t>
            </w:r>
          </w:p>
        </w:tc>
      </w:tr>
      <w:tr w:rsidR="00097C13" w:rsidRPr="006E77B0" w14:paraId="5F8A8358" w14:textId="77777777" w:rsidTr="004C6E8F">
        <w:tc>
          <w:tcPr>
            <w:tcW w:w="2693" w:type="dxa"/>
          </w:tcPr>
          <w:p w14:paraId="21AEB79F" w14:textId="366CFF2C" w:rsidR="00097C13" w:rsidRPr="006E77B0" w:rsidRDefault="00097C13" w:rsidP="00D664D1">
            <w:pPr>
              <w:jc w:val="both"/>
            </w:pPr>
            <w:r w:rsidRPr="006E77B0">
              <w:t>Pomoći</w:t>
            </w:r>
          </w:p>
        </w:tc>
        <w:tc>
          <w:tcPr>
            <w:tcW w:w="1701" w:type="dxa"/>
          </w:tcPr>
          <w:p w14:paraId="46C71C03" w14:textId="2476246A" w:rsidR="00097C13" w:rsidRPr="006E77B0" w:rsidRDefault="00097C13" w:rsidP="00097C13">
            <w:pPr>
              <w:jc w:val="right"/>
            </w:pPr>
            <w:r w:rsidRPr="006E77B0">
              <w:t>497,23</w:t>
            </w:r>
            <w:r w:rsidR="004C6E8F">
              <w:t xml:space="preserve"> €</w:t>
            </w:r>
          </w:p>
        </w:tc>
      </w:tr>
      <w:tr w:rsidR="00097C13" w:rsidRPr="006E77B0" w14:paraId="00F51470" w14:textId="77777777" w:rsidTr="004C6E8F">
        <w:tc>
          <w:tcPr>
            <w:tcW w:w="2693" w:type="dxa"/>
          </w:tcPr>
          <w:p w14:paraId="5FDDA228" w14:textId="1589A056" w:rsidR="00097C13" w:rsidRPr="006E77B0" w:rsidRDefault="00097C13" w:rsidP="00D664D1">
            <w:pPr>
              <w:jc w:val="both"/>
            </w:pPr>
            <w:r w:rsidRPr="006E77B0">
              <w:t>donacije</w:t>
            </w:r>
          </w:p>
        </w:tc>
        <w:tc>
          <w:tcPr>
            <w:tcW w:w="1701" w:type="dxa"/>
          </w:tcPr>
          <w:p w14:paraId="54A2B48B" w14:textId="6D69DC45" w:rsidR="00097C13" w:rsidRPr="006E77B0" w:rsidRDefault="00097C13" w:rsidP="00097C13">
            <w:pPr>
              <w:jc w:val="right"/>
            </w:pPr>
            <w:r w:rsidRPr="006E77B0">
              <w:t>85,53</w:t>
            </w:r>
            <w:r w:rsidR="004C6E8F">
              <w:t xml:space="preserve"> €</w:t>
            </w:r>
          </w:p>
        </w:tc>
      </w:tr>
    </w:tbl>
    <w:p w14:paraId="281FF5FD" w14:textId="31FE0426" w:rsidR="00D70287" w:rsidRDefault="00D70287" w:rsidP="00D664D1">
      <w:pPr>
        <w:jc w:val="both"/>
      </w:pPr>
      <w:r w:rsidRPr="006E77B0">
        <w:t>Od prenesenog viška iz prethodne godine</w:t>
      </w:r>
      <w:r w:rsidR="005F2ACF" w:rsidRPr="006E77B0">
        <w:t xml:space="preserve">, </w:t>
      </w:r>
      <w:r w:rsidRPr="006E77B0">
        <w:t xml:space="preserve">na rashode u tekućoj godini utrošeno </w:t>
      </w:r>
      <w:r w:rsidR="00097C13" w:rsidRPr="006E77B0">
        <w:t>13.735,85</w:t>
      </w:r>
      <w:r w:rsidRPr="006E77B0">
        <w:t xml:space="preserve"> € ili </w:t>
      </w:r>
      <w:r w:rsidR="00097C13" w:rsidRPr="006E77B0">
        <w:t>96,96</w:t>
      </w:r>
      <w:r w:rsidRPr="006E77B0">
        <w:t>%.</w:t>
      </w:r>
    </w:p>
    <w:p w14:paraId="6686E029" w14:textId="77777777" w:rsidR="005F2ACF" w:rsidRDefault="005F2ACF" w:rsidP="0094383F">
      <w:pPr>
        <w:jc w:val="both"/>
        <w:rPr>
          <w:b/>
        </w:rPr>
      </w:pPr>
    </w:p>
    <w:p w14:paraId="4DBC2761" w14:textId="59729FE6" w:rsidR="0046204F" w:rsidRDefault="0046204F" w:rsidP="0094383F">
      <w:pPr>
        <w:jc w:val="both"/>
        <w:rPr>
          <w:b/>
        </w:rPr>
      </w:pPr>
      <w:r w:rsidRPr="00097C13">
        <w:rPr>
          <w:b/>
        </w:rPr>
        <w:t>II. OBRAZLOŽENJE POSEBNOG DIJELA IZVJEŠTAJA O IZVRŠENJU FINANCIJSKOG PLANA</w:t>
      </w:r>
    </w:p>
    <w:p w14:paraId="463F8144" w14:textId="77777777" w:rsidR="004B40F6" w:rsidRPr="000E461A" w:rsidRDefault="004B40F6" w:rsidP="0094383F">
      <w:pPr>
        <w:jc w:val="both"/>
        <w:rPr>
          <w:b/>
        </w:rPr>
      </w:pPr>
      <w:r w:rsidRPr="000E461A">
        <w:rPr>
          <w:b/>
        </w:rPr>
        <w:t>Program 6000 Odgoj i obrazovanje</w:t>
      </w:r>
    </w:p>
    <w:p w14:paraId="0D4EDD0E" w14:textId="77777777" w:rsidR="001930BC" w:rsidRPr="000E461A" w:rsidRDefault="001930BC" w:rsidP="0094383F">
      <w:pPr>
        <w:jc w:val="both"/>
        <w:rPr>
          <w:b/>
        </w:rPr>
      </w:pPr>
      <w:r w:rsidRPr="000E461A">
        <w:rPr>
          <w:b/>
        </w:rPr>
        <w:t>Aktivnost A600003 Srednje školstvo-rashodi za zaposlene</w:t>
      </w:r>
    </w:p>
    <w:p w14:paraId="25832347" w14:textId="241AB6A3" w:rsidR="00B669DD" w:rsidRPr="000E461A" w:rsidRDefault="001930BC" w:rsidP="0094383F">
      <w:pPr>
        <w:jc w:val="both"/>
      </w:pPr>
      <w:r w:rsidRPr="000E461A">
        <w:t xml:space="preserve">Ova aktivnost izvršena je u iznosu </w:t>
      </w:r>
      <w:r w:rsidR="0069282D">
        <w:t>1.347.117,08</w:t>
      </w:r>
      <w:r w:rsidR="002D6D40" w:rsidRPr="000E461A">
        <w:t xml:space="preserve"> €</w:t>
      </w:r>
      <w:r w:rsidRPr="000E461A">
        <w:t xml:space="preserve"> ili</w:t>
      </w:r>
      <w:r w:rsidR="0080104E" w:rsidRPr="000E461A">
        <w:t xml:space="preserve"> </w:t>
      </w:r>
      <w:r w:rsidR="00E002D3" w:rsidRPr="000E461A">
        <w:t>99,</w:t>
      </w:r>
      <w:r w:rsidR="0069282D">
        <w:t>62</w:t>
      </w:r>
      <w:r w:rsidR="0080104E" w:rsidRPr="000E461A">
        <w:t xml:space="preserve"> </w:t>
      </w:r>
      <w:r w:rsidRPr="000E461A">
        <w:t>%</w:t>
      </w:r>
      <w:r w:rsidR="00277DFA" w:rsidRPr="000E461A">
        <w:t xml:space="preserve"> plana</w:t>
      </w:r>
      <w:r w:rsidRPr="000E461A">
        <w:t xml:space="preserve"> a odnosi se na rashode za zaposlene koji uključuju bruto plaće uvećane za doprinose na plaće</w:t>
      </w:r>
      <w:r w:rsidR="002C1701">
        <w:t xml:space="preserve"> te</w:t>
      </w:r>
      <w:r w:rsidRPr="000E461A">
        <w:t xml:space="preserve"> ostale rashod</w:t>
      </w:r>
      <w:r w:rsidR="00E84A1A" w:rsidRPr="000E461A">
        <w:t>e</w:t>
      </w:r>
      <w:r w:rsidRPr="000E461A">
        <w:t xml:space="preserve"> za zaposlene (jubilarne nagrade, </w:t>
      </w:r>
      <w:r w:rsidR="00CE37CF" w:rsidRPr="000E461A">
        <w:t>potpore u slučaju smrti članova obitelji zaposlenika</w:t>
      </w:r>
      <w:r w:rsidRPr="000E461A">
        <w:t>,</w:t>
      </w:r>
      <w:r w:rsidR="00277DFA" w:rsidRPr="000E461A">
        <w:t xml:space="preserve"> </w:t>
      </w:r>
      <w:r w:rsidRPr="000E461A">
        <w:t>regres</w:t>
      </w:r>
      <w:r w:rsidR="00277DFA" w:rsidRPr="000E461A">
        <w:t>, božićnic</w:t>
      </w:r>
      <w:r w:rsidR="0069282D">
        <w:t xml:space="preserve">a, </w:t>
      </w:r>
      <w:proofErr w:type="spellStart"/>
      <w:r w:rsidR="0069282D">
        <w:t>uskrsnica</w:t>
      </w:r>
      <w:proofErr w:type="spellEnd"/>
      <w:r w:rsidR="0069282D">
        <w:t xml:space="preserve"> </w:t>
      </w:r>
      <w:r w:rsidR="00277DFA" w:rsidRPr="000E461A">
        <w:t xml:space="preserve"> i dar djeci te potpore za rođenje djeteta</w:t>
      </w:r>
      <w:r w:rsidRPr="000E461A">
        <w:t>)</w:t>
      </w:r>
      <w:r w:rsidR="00E002D3" w:rsidRPr="000E461A">
        <w:t>.</w:t>
      </w:r>
      <w:r w:rsidRPr="000E461A">
        <w:t xml:space="preserve"> </w:t>
      </w:r>
      <w:r w:rsidR="007E114E" w:rsidRPr="000E461A">
        <w:t xml:space="preserve">Ova aktivnost financira se iz </w:t>
      </w:r>
      <w:r w:rsidR="00E002D3" w:rsidRPr="000E461A">
        <w:t xml:space="preserve">sredstava pomoći </w:t>
      </w:r>
      <w:r w:rsidR="007E114E" w:rsidRPr="000E461A">
        <w:t>državnog proračuna odnosno proračuna Ministarstva znanosti i obrazovanja</w:t>
      </w:r>
      <w:r w:rsidR="0069282D">
        <w:t xml:space="preserve"> i mladih</w:t>
      </w:r>
      <w:r w:rsidR="002C1701">
        <w:t>.</w:t>
      </w:r>
    </w:p>
    <w:p w14:paraId="32ED0F52" w14:textId="77777777" w:rsidR="007A6A9C" w:rsidRPr="000E461A" w:rsidRDefault="007A6A9C" w:rsidP="0094383F">
      <w:pPr>
        <w:jc w:val="both"/>
      </w:pPr>
    </w:p>
    <w:p w14:paraId="4B717CED" w14:textId="77777777" w:rsidR="00B669DD" w:rsidRPr="000E461A" w:rsidRDefault="00B669DD" w:rsidP="0094383F">
      <w:pPr>
        <w:jc w:val="both"/>
        <w:rPr>
          <w:b/>
        </w:rPr>
      </w:pPr>
      <w:r w:rsidRPr="000E461A">
        <w:rPr>
          <w:b/>
        </w:rPr>
        <w:t xml:space="preserve">Aktivnost A600004 Srednje školstvo-redovno poslovanje po minimalnom standardu </w:t>
      </w:r>
    </w:p>
    <w:p w14:paraId="5BD27C84" w14:textId="47B247C9" w:rsidR="00705427" w:rsidRPr="000E461A" w:rsidRDefault="00B669DD" w:rsidP="0094383F">
      <w:pPr>
        <w:jc w:val="both"/>
      </w:pPr>
      <w:r w:rsidRPr="000E461A">
        <w:t xml:space="preserve">Sredstva planirana u okviru </w:t>
      </w:r>
      <w:r w:rsidR="002B0B06">
        <w:t>aktivnosti redovno poslovanje po minimalnom standardu</w:t>
      </w:r>
      <w:r w:rsidRPr="000E461A">
        <w:t xml:space="preserve"> </w:t>
      </w:r>
      <w:r w:rsidR="002B1826" w:rsidRPr="000E461A">
        <w:t xml:space="preserve">realizirana su sa </w:t>
      </w:r>
      <w:r w:rsidR="002C1701">
        <w:t>97,74</w:t>
      </w:r>
      <w:r w:rsidR="00CE37CF" w:rsidRPr="000E461A">
        <w:t>%</w:t>
      </w:r>
      <w:r w:rsidR="002B1826" w:rsidRPr="000E461A">
        <w:t xml:space="preserve"> plana</w:t>
      </w:r>
      <w:r w:rsidR="006F73AF" w:rsidRPr="000E461A">
        <w:t xml:space="preserve"> ili </w:t>
      </w:r>
      <w:r w:rsidR="002C1701">
        <w:t>116.306,29</w:t>
      </w:r>
      <w:r w:rsidR="00CE37CF" w:rsidRPr="000E461A">
        <w:t xml:space="preserve"> €</w:t>
      </w:r>
      <w:r w:rsidR="006F73AF" w:rsidRPr="000E461A">
        <w:t>.  Riječ je o materijalnim i financijskim rashodima koji se financiraju iz županijskog proračuna</w:t>
      </w:r>
      <w:r w:rsidR="003E4759">
        <w:t xml:space="preserve"> iz decentraliziranih sredstva</w:t>
      </w:r>
      <w:r w:rsidR="006421D1">
        <w:t xml:space="preserve"> temeljem Odluke o kriterijima i mjerilima za utvrđivanje bilančnih prava za financiranje minimalnog financijskog standarda javnih potreba srednjih škola na području BPŽ.</w:t>
      </w:r>
    </w:p>
    <w:p w14:paraId="34FFCDCA" w14:textId="77777777" w:rsidR="003C78FA" w:rsidRPr="000E461A" w:rsidRDefault="002B1826" w:rsidP="0094383F">
      <w:pPr>
        <w:jc w:val="both"/>
      </w:pPr>
      <w:r w:rsidRPr="000E461A">
        <w:t xml:space="preserve"> </w:t>
      </w:r>
    </w:p>
    <w:p w14:paraId="54867F32" w14:textId="77777777" w:rsidR="002B1826" w:rsidRPr="000E461A" w:rsidRDefault="003C78FA" w:rsidP="0094383F">
      <w:pPr>
        <w:jc w:val="both"/>
        <w:rPr>
          <w:b/>
        </w:rPr>
      </w:pPr>
      <w:r w:rsidRPr="000E461A">
        <w:rPr>
          <w:b/>
        </w:rPr>
        <w:t>Aktivno</w:t>
      </w:r>
      <w:r w:rsidR="002B1826" w:rsidRPr="000E461A">
        <w:rPr>
          <w:b/>
        </w:rPr>
        <w:t>st A600007 Financiranje iznad minimalnog standarda-srednje školstvo</w:t>
      </w:r>
    </w:p>
    <w:p w14:paraId="46CA7F93" w14:textId="1EBE1876" w:rsidR="003C78FA" w:rsidRPr="000E461A" w:rsidRDefault="003C78FA" w:rsidP="0094383F">
      <w:pPr>
        <w:jc w:val="both"/>
      </w:pPr>
      <w:r w:rsidRPr="000E461A">
        <w:t xml:space="preserve">Ova aktivnost izvršena je u iznosu </w:t>
      </w:r>
      <w:r w:rsidR="00DD73D8">
        <w:t>80.084,87</w:t>
      </w:r>
      <w:r w:rsidR="00CE37CF" w:rsidRPr="000E461A">
        <w:t xml:space="preserve"> € ili </w:t>
      </w:r>
      <w:r w:rsidR="00DD73D8">
        <w:t>80,4</w:t>
      </w:r>
      <w:r w:rsidR="00CE37CF" w:rsidRPr="000E461A">
        <w:t xml:space="preserve">% </w:t>
      </w:r>
      <w:r w:rsidRPr="000E461A">
        <w:t xml:space="preserve">plana a realizacija po izvorima financiranja je slijedeća: </w:t>
      </w:r>
    </w:p>
    <w:p w14:paraId="618CFF25" w14:textId="044728A7" w:rsidR="003C78FA" w:rsidRPr="000E461A" w:rsidRDefault="003C78FA" w:rsidP="003C78FA">
      <w:pPr>
        <w:pStyle w:val="Bezproreda"/>
      </w:pPr>
      <w:r w:rsidRPr="000E461A">
        <w:t xml:space="preserve">izvor: Vlastiti prihodi </w:t>
      </w:r>
      <w:r w:rsidR="00DD73D8">
        <w:t>86,28</w:t>
      </w:r>
      <w:r w:rsidR="00CE37CF" w:rsidRPr="000E461A">
        <w:t xml:space="preserve"> %</w:t>
      </w:r>
    </w:p>
    <w:p w14:paraId="792518FC" w14:textId="3851F150" w:rsidR="003C78FA" w:rsidRPr="000E461A" w:rsidRDefault="003C78FA" w:rsidP="003C78FA">
      <w:pPr>
        <w:pStyle w:val="Bezproreda"/>
      </w:pPr>
      <w:r w:rsidRPr="000E461A">
        <w:t xml:space="preserve">izvor: Prihodi za posebne namjene </w:t>
      </w:r>
      <w:r w:rsidR="00DD73D8">
        <w:t>99,48</w:t>
      </w:r>
      <w:r w:rsidRPr="000E461A">
        <w:t>%</w:t>
      </w:r>
    </w:p>
    <w:p w14:paraId="1F3C86FE" w14:textId="26AAB1B2" w:rsidR="003C78FA" w:rsidRPr="000E461A" w:rsidRDefault="003C78FA" w:rsidP="003C78FA">
      <w:pPr>
        <w:pStyle w:val="Bezproreda"/>
      </w:pPr>
      <w:r w:rsidRPr="000E461A">
        <w:t>izvor:</w:t>
      </w:r>
      <w:r w:rsidR="000B3FF0" w:rsidRPr="000E461A">
        <w:t xml:space="preserve"> </w:t>
      </w:r>
      <w:r w:rsidRPr="000E461A">
        <w:t xml:space="preserve">pomoći </w:t>
      </w:r>
      <w:r w:rsidR="00DD73D8">
        <w:t xml:space="preserve">69,10 </w:t>
      </w:r>
      <w:r w:rsidRPr="000E461A">
        <w:t>%</w:t>
      </w:r>
    </w:p>
    <w:p w14:paraId="70137318" w14:textId="4A2964DA" w:rsidR="003C78FA" w:rsidRPr="000E461A" w:rsidRDefault="003C78FA" w:rsidP="003C78FA">
      <w:pPr>
        <w:pStyle w:val="Bezproreda"/>
      </w:pPr>
      <w:r w:rsidRPr="000E461A">
        <w:t xml:space="preserve">izvor: donacije </w:t>
      </w:r>
      <w:r w:rsidR="00DD73D8">
        <w:t>43,20</w:t>
      </w:r>
      <w:r w:rsidRPr="000E461A">
        <w:t xml:space="preserve"> %</w:t>
      </w:r>
    </w:p>
    <w:p w14:paraId="35336218" w14:textId="77777777" w:rsidR="002A3AAD" w:rsidRPr="000E461A" w:rsidRDefault="002A3AAD" w:rsidP="003C78FA">
      <w:pPr>
        <w:pStyle w:val="Bezproreda"/>
      </w:pPr>
    </w:p>
    <w:p w14:paraId="0F470EA9" w14:textId="77777777" w:rsidR="00705427" w:rsidRPr="000E461A" w:rsidRDefault="00705427" w:rsidP="003C78FA">
      <w:pPr>
        <w:pStyle w:val="Bezproreda"/>
      </w:pPr>
    </w:p>
    <w:p w14:paraId="340A1800" w14:textId="771755F9" w:rsidR="003F113C" w:rsidRDefault="00702643" w:rsidP="003F113C">
      <w:pPr>
        <w:pStyle w:val="Bezproreda"/>
        <w:jc w:val="both"/>
      </w:pPr>
      <w:r w:rsidRPr="000E461A">
        <w:rPr>
          <w:b/>
        </w:rPr>
        <w:t>Vlastiti prihodi</w:t>
      </w:r>
      <w:r w:rsidR="00551A64" w:rsidRPr="000E461A">
        <w:t xml:space="preserve"> </w:t>
      </w:r>
      <w:r w:rsidRPr="000E461A">
        <w:t xml:space="preserve">su utrošeni za plaće za prekovremeni rad </w:t>
      </w:r>
      <w:r w:rsidR="000B58C8" w:rsidRPr="000E461A">
        <w:t xml:space="preserve">te naknadu troškova prijevoza zaposlenika za </w:t>
      </w:r>
      <w:r w:rsidRPr="000E461A">
        <w:t>dežurstva pomoćno-tehničkog osoblja</w:t>
      </w:r>
      <w:r w:rsidR="002A3AAD" w:rsidRPr="000E461A">
        <w:t xml:space="preserve"> u dvorani</w:t>
      </w:r>
      <w:r w:rsidR="000B58C8" w:rsidRPr="000E461A">
        <w:t xml:space="preserve"> u dane vikenda i blagdana zbog korištenja dvorane za održavanje prvenstvenih utakmica klubova u sastavu </w:t>
      </w:r>
      <w:r w:rsidR="00C77061">
        <w:t>Zajednice</w:t>
      </w:r>
      <w:r w:rsidR="000B58C8" w:rsidRPr="000E461A">
        <w:t xml:space="preserve"> sportova</w:t>
      </w:r>
      <w:r w:rsidR="003F113C">
        <w:t>,</w:t>
      </w:r>
      <w:r w:rsidR="003F113C" w:rsidRPr="003F113C">
        <w:t xml:space="preserve"> </w:t>
      </w:r>
      <w:r w:rsidR="003F113C" w:rsidRPr="000E461A">
        <w:t>premiju osiguranja od odgovornosti,</w:t>
      </w:r>
      <w:r w:rsidR="003F113C">
        <w:t xml:space="preserve"> </w:t>
      </w:r>
      <w:r w:rsidR="00DD73D8">
        <w:t>rashode</w:t>
      </w:r>
      <w:r w:rsidR="003F113C" w:rsidRPr="000E461A">
        <w:t xml:space="preserve"> učeničkog servisa (učenička zarada uvećana za doprinose </w:t>
      </w:r>
      <w:r w:rsidR="003F113C" w:rsidRPr="000E461A">
        <w:lastRenderedPageBreak/>
        <w:t>mirovinskog i zdravstvenog osiguranja)</w:t>
      </w:r>
      <w:r w:rsidR="003F113C" w:rsidRPr="003F113C">
        <w:t xml:space="preserve"> </w:t>
      </w:r>
      <w:r w:rsidR="003F113C" w:rsidRPr="000E461A">
        <w:t>materijal i usluge tekućeg i investicijskog održavanja objekata i opreme, troškove električne</w:t>
      </w:r>
      <w:r w:rsidR="003F113C">
        <w:t xml:space="preserve"> </w:t>
      </w:r>
      <w:r w:rsidR="003F113C" w:rsidRPr="000E461A">
        <w:t>energije, troškove obilježavanja Dana škole,</w:t>
      </w:r>
      <w:r w:rsidR="007C0E90">
        <w:t xml:space="preserve"> troškove prijevoza učenika s teškoćama </w:t>
      </w:r>
      <w:r w:rsidR="003F113C" w:rsidRPr="000E461A">
        <w:t xml:space="preserve"> te nabavu sitnog inventara, opreme i knjiga za knjižnicu.</w:t>
      </w:r>
    </w:p>
    <w:p w14:paraId="01B1C56F" w14:textId="77777777" w:rsidR="007C0E90" w:rsidRDefault="007C0E90" w:rsidP="003F113C">
      <w:pPr>
        <w:pStyle w:val="Bezproreda"/>
        <w:jc w:val="both"/>
      </w:pPr>
    </w:p>
    <w:p w14:paraId="0E95F813" w14:textId="43065631" w:rsidR="006C4617" w:rsidRPr="000E461A" w:rsidRDefault="00551A64" w:rsidP="00702643">
      <w:pPr>
        <w:pStyle w:val="Bezproreda"/>
        <w:jc w:val="both"/>
      </w:pPr>
      <w:r w:rsidRPr="000E461A">
        <w:rPr>
          <w:b/>
        </w:rPr>
        <w:t>Prihodi za posebne namjene</w:t>
      </w:r>
      <w:r w:rsidRPr="000E461A">
        <w:t xml:space="preserve"> </w:t>
      </w:r>
      <w:r w:rsidR="00D04706" w:rsidRPr="000E461A">
        <w:t>su sukladno namjeni utroš</w:t>
      </w:r>
      <w:r w:rsidR="006C4617" w:rsidRPr="000E461A">
        <w:t xml:space="preserve">eni za troškove osiguranja učenika od nezgode u iznosu </w:t>
      </w:r>
      <w:r w:rsidR="00C77061">
        <w:t>1.310,00 €</w:t>
      </w:r>
      <w:r w:rsidR="006C4617" w:rsidRPr="000E461A">
        <w:t xml:space="preserve"> te troškove uredskog materijala</w:t>
      </w:r>
      <w:r w:rsidR="006421D1">
        <w:t xml:space="preserve"> u iznosu </w:t>
      </w:r>
      <w:r w:rsidR="00C77061">
        <w:t>343,12</w:t>
      </w:r>
      <w:r w:rsidR="006C4617" w:rsidRPr="000E461A">
        <w:t xml:space="preserve"> koji se financiraju iz prihoda od izdavanja duplikata svjedodžbi.</w:t>
      </w:r>
      <w:r w:rsidR="00C77061">
        <w:t xml:space="preserve"> Pr</w:t>
      </w:r>
      <w:r w:rsidR="00C77061" w:rsidRPr="000E461A">
        <w:t>ihod</w:t>
      </w:r>
      <w:r w:rsidR="00C77061">
        <w:t>i</w:t>
      </w:r>
      <w:r w:rsidR="00C77061" w:rsidRPr="000E461A">
        <w:t xml:space="preserve"> </w:t>
      </w:r>
      <w:r w:rsidR="00C77061">
        <w:t>od naplate štete od osiguravajućih društava utrošeni su za materijal za tekuće i investicijsko održavanje u iznosu 265,45 €</w:t>
      </w:r>
    </w:p>
    <w:p w14:paraId="2A5AA6C8" w14:textId="77777777" w:rsidR="006C4617" w:rsidRPr="000E461A" w:rsidRDefault="00D04706" w:rsidP="00702643">
      <w:pPr>
        <w:pStyle w:val="Bezproreda"/>
        <w:jc w:val="both"/>
      </w:pPr>
      <w:r w:rsidRPr="000E461A">
        <w:t xml:space="preserve"> </w:t>
      </w:r>
    </w:p>
    <w:p w14:paraId="72BD01C6" w14:textId="554A1F00" w:rsidR="00342B88" w:rsidRPr="000E461A" w:rsidRDefault="006C4617" w:rsidP="00702643">
      <w:pPr>
        <w:pStyle w:val="Bezproreda"/>
        <w:jc w:val="both"/>
      </w:pPr>
      <w:r w:rsidRPr="000E461A">
        <w:t xml:space="preserve">Sredstva </w:t>
      </w:r>
      <w:r w:rsidRPr="000E461A">
        <w:rPr>
          <w:b/>
        </w:rPr>
        <w:t>pomoć</w:t>
      </w:r>
      <w:r w:rsidRPr="000E461A">
        <w:t>i iz državnog proračuna utrošena su sukladno namjeni za</w:t>
      </w:r>
      <w:r w:rsidR="00213524">
        <w:t xml:space="preserve"> </w:t>
      </w:r>
      <w:r w:rsidRPr="000E461A">
        <w:t xml:space="preserve">nabavu menstrualnih higijenskih potrepština za učenice u iznosu </w:t>
      </w:r>
      <w:r w:rsidR="00213524">
        <w:t>403,33</w:t>
      </w:r>
      <w:r w:rsidRPr="000E461A">
        <w:t xml:space="preserve"> €</w:t>
      </w:r>
      <w:r w:rsidR="00C51B42" w:rsidRPr="000E461A">
        <w:t xml:space="preserve">, </w:t>
      </w:r>
      <w:r w:rsidR="00213524">
        <w:t xml:space="preserve">za </w:t>
      </w:r>
      <w:r w:rsidR="00C51B42" w:rsidRPr="000E461A">
        <w:t xml:space="preserve">troškove prijevoza učenika s teškoćama u razvoju u iznosu </w:t>
      </w:r>
      <w:r w:rsidR="00213524">
        <w:t>2.571,04</w:t>
      </w:r>
      <w:r w:rsidR="00C51B42" w:rsidRPr="000E461A">
        <w:t xml:space="preserve"> €, za rad ŽSV TZK u iznosu </w:t>
      </w:r>
      <w:r w:rsidR="00213524">
        <w:t>48,82</w:t>
      </w:r>
      <w:r w:rsidR="00C51B42" w:rsidRPr="000E461A">
        <w:t xml:space="preserve"> € te troškove licenci u iznosu </w:t>
      </w:r>
      <w:r w:rsidR="00213524">
        <w:t>86,25</w:t>
      </w:r>
      <w:r w:rsidR="00C51B42" w:rsidRPr="000E461A">
        <w:t xml:space="preserve"> €. </w:t>
      </w:r>
      <w:r w:rsidR="001825C9">
        <w:t>Preostala sredstva</w:t>
      </w:r>
      <w:r w:rsidR="00213524">
        <w:t xml:space="preserve"> </w:t>
      </w:r>
      <w:r w:rsidR="003501E3" w:rsidRPr="000E461A">
        <w:t xml:space="preserve">projekta Erasmus+ Demeter u iznosu </w:t>
      </w:r>
      <w:r w:rsidR="001825C9">
        <w:t>247,87 €</w:t>
      </w:r>
      <w:r w:rsidR="003501E3" w:rsidRPr="000E461A">
        <w:t xml:space="preserve"> za troškove reprezentacije (gosti iz Švedske</w:t>
      </w:r>
      <w:r w:rsidR="001825C9">
        <w:t xml:space="preserve"> i savjetnički posjet).</w:t>
      </w:r>
    </w:p>
    <w:p w14:paraId="57F9EED5" w14:textId="1794326C" w:rsidR="00551A64" w:rsidRDefault="009B4277" w:rsidP="00702643">
      <w:pPr>
        <w:pStyle w:val="Bezproreda"/>
        <w:jc w:val="both"/>
      </w:pPr>
      <w:r w:rsidRPr="000E461A">
        <w:t>Kapitalne pomoći Ministarstva znanosti</w:t>
      </w:r>
      <w:r w:rsidR="001825C9">
        <w:t xml:space="preserve">, </w:t>
      </w:r>
      <w:r w:rsidRPr="000E461A">
        <w:t>obrazovanja</w:t>
      </w:r>
      <w:r w:rsidR="001825C9">
        <w:t xml:space="preserve"> i mladih</w:t>
      </w:r>
      <w:r w:rsidRPr="000E461A">
        <w:t xml:space="preserve"> utrošene su za nabavu udžbenika za učenike slabijeg </w:t>
      </w:r>
      <w:proofErr w:type="spellStart"/>
      <w:r w:rsidRPr="000E461A">
        <w:t>socio</w:t>
      </w:r>
      <w:proofErr w:type="spellEnd"/>
      <w:r w:rsidRPr="000E461A">
        <w:t xml:space="preserve">-ekonomskog statusa u iznosu </w:t>
      </w:r>
      <w:r w:rsidR="001825C9">
        <w:t>191,92</w:t>
      </w:r>
      <w:r w:rsidR="003501E3" w:rsidRPr="000E461A">
        <w:t xml:space="preserve"> €</w:t>
      </w:r>
      <w:r w:rsidRPr="000E461A">
        <w:t xml:space="preserve">  te opremanje školske knjižnice lektirom i stručnom literaturom u iznosu </w:t>
      </w:r>
      <w:r w:rsidR="001825C9">
        <w:t>540,00</w:t>
      </w:r>
      <w:r w:rsidR="003501E3" w:rsidRPr="000E461A">
        <w:t xml:space="preserve"> €</w:t>
      </w:r>
      <w:r w:rsidR="001825C9">
        <w:t xml:space="preserve">. Sredstva pomoći iz proračuna grada Nova Gradiška utrošena su za opremanje strukovnog laboratorija (stolovi i stolice) </w:t>
      </w:r>
      <w:r w:rsidR="00BE2FED">
        <w:t>u iznosu 7,454,96 €.</w:t>
      </w:r>
    </w:p>
    <w:p w14:paraId="4747765E" w14:textId="536EB138" w:rsidR="00BE2FED" w:rsidRPr="000E461A" w:rsidRDefault="00BE2FED" w:rsidP="00702643">
      <w:pPr>
        <w:pStyle w:val="Bezproreda"/>
        <w:jc w:val="both"/>
      </w:pPr>
      <w:r>
        <w:t>Izvor pomoći bilježi manju realizaciju u odnosu na plan jer nisu ostvarena planirana sredstva iz MZOM za projekt izvannastavnih aktivnosti.</w:t>
      </w:r>
    </w:p>
    <w:p w14:paraId="443054B6" w14:textId="77777777" w:rsidR="001825C9" w:rsidRDefault="001825C9" w:rsidP="00702643">
      <w:pPr>
        <w:pStyle w:val="Bezproreda"/>
        <w:jc w:val="both"/>
      </w:pPr>
    </w:p>
    <w:p w14:paraId="49B6A2F2" w14:textId="11A8FE33" w:rsidR="009411A6" w:rsidRPr="000E461A" w:rsidRDefault="00BE2557" w:rsidP="00702643">
      <w:pPr>
        <w:pStyle w:val="Bezproreda"/>
        <w:jc w:val="both"/>
      </w:pPr>
      <w:r w:rsidRPr="000E461A">
        <w:t xml:space="preserve">Sredstva </w:t>
      </w:r>
      <w:r w:rsidRPr="000E461A">
        <w:rPr>
          <w:b/>
        </w:rPr>
        <w:t>donacija</w:t>
      </w:r>
      <w:r w:rsidR="009411A6" w:rsidRPr="000E461A">
        <w:rPr>
          <w:b/>
        </w:rPr>
        <w:t xml:space="preserve"> </w:t>
      </w:r>
      <w:r w:rsidR="009411A6" w:rsidRPr="000E461A">
        <w:t>od trgovačkih društava</w:t>
      </w:r>
      <w:r w:rsidR="002B0B06">
        <w:t xml:space="preserve"> </w:t>
      </w:r>
      <w:r w:rsidRPr="000E461A">
        <w:t>utrošena su sukladno namjeni</w:t>
      </w:r>
      <w:r w:rsidR="00CB15EC" w:rsidRPr="000E461A">
        <w:t xml:space="preserve"> za troškove realizacije </w:t>
      </w:r>
      <w:r w:rsidR="00BE2FED">
        <w:t>učeničkih ekskurzija</w:t>
      </w:r>
      <w:r w:rsidR="00CB15EC" w:rsidRPr="000E461A">
        <w:t xml:space="preserve"> u iznosu </w:t>
      </w:r>
      <w:r w:rsidR="00BE2FED">
        <w:t>2.640,00</w:t>
      </w:r>
      <w:r w:rsidR="00CB15EC" w:rsidRPr="000E461A">
        <w:t xml:space="preserve"> €</w:t>
      </w:r>
      <w:r w:rsidR="00BE2FED">
        <w:t xml:space="preserve">. </w:t>
      </w:r>
      <w:r w:rsidR="00CB15EC" w:rsidRPr="000E461A">
        <w:t>Sredstva ostvarena</w:t>
      </w:r>
      <w:r w:rsidR="007C0E90">
        <w:t xml:space="preserve"> od</w:t>
      </w:r>
      <w:r w:rsidR="00CB15EC" w:rsidRPr="000E461A">
        <w:t xml:space="preserve"> ŠSS BPŽ su sukladno namjeni utrošena za </w:t>
      </w:r>
      <w:r w:rsidR="00BE2FED">
        <w:t>troškove</w:t>
      </w:r>
      <w:r w:rsidR="00CB15EC" w:rsidRPr="000E461A">
        <w:t xml:space="preserve"> školskog sportskog društva (za sportsku opremu: lopte, reketi…) u iznosu </w:t>
      </w:r>
      <w:r w:rsidR="00BE2FED">
        <w:t>285,35</w:t>
      </w:r>
      <w:r w:rsidR="00CB15EC" w:rsidRPr="000E461A">
        <w:t xml:space="preserve"> €. </w:t>
      </w:r>
      <w:r w:rsidR="00BE2FED">
        <w:t>Prenesena s</w:t>
      </w:r>
      <w:r w:rsidR="00CB15EC" w:rsidRPr="000E461A">
        <w:t>redstv</w:t>
      </w:r>
      <w:r w:rsidR="009411A6" w:rsidRPr="000E461A">
        <w:t xml:space="preserve">a donacija za projekt Junior </w:t>
      </w:r>
      <w:proofErr w:type="spellStart"/>
      <w:r w:rsidR="009411A6" w:rsidRPr="000E461A">
        <w:t>Engineer</w:t>
      </w:r>
      <w:proofErr w:type="spellEnd"/>
      <w:r w:rsidR="009411A6" w:rsidRPr="000E461A">
        <w:t xml:space="preserve"> </w:t>
      </w:r>
      <w:proofErr w:type="spellStart"/>
      <w:r w:rsidR="009411A6" w:rsidRPr="000E461A">
        <w:t>Academy</w:t>
      </w:r>
      <w:proofErr w:type="spellEnd"/>
      <w:r w:rsidR="005E7EBE">
        <w:t xml:space="preserve"> u iznosu 18,72 €</w:t>
      </w:r>
      <w:r w:rsidR="009411A6" w:rsidRPr="000E461A">
        <w:t xml:space="preserve"> utrošena su za </w:t>
      </w:r>
      <w:r w:rsidR="002B0B06">
        <w:t xml:space="preserve">materijalne </w:t>
      </w:r>
      <w:r w:rsidR="009411A6" w:rsidRPr="000E461A">
        <w:t>troškove</w:t>
      </w:r>
      <w:r w:rsidR="002B0B06">
        <w:t xml:space="preserve"> </w:t>
      </w:r>
      <w:r w:rsidR="005E7EBE">
        <w:t>-nastavni materijal. Od informativno pravnog centra Slavonski Brod ostvarena je donacija projektora u vrijednosti 300,00 €.</w:t>
      </w:r>
      <w:r w:rsidR="00C129F5">
        <w:t xml:space="preserve"> Razlog manje realizacije ovog izvora financiranja u odnosu na plan je što nije nabavljena oprema za učenike s poteškoćama u razvoju. Sredstva se prenose u 2025. g te će biti realizirana </w:t>
      </w:r>
      <w:r w:rsidR="00721F47">
        <w:t>za istu namjenu. Također nije ostvarena planirana donacija Zajednice sportova  za nabavu stroja za čišćenje dvorane.</w:t>
      </w:r>
    </w:p>
    <w:p w14:paraId="7E960217" w14:textId="77777777" w:rsidR="00CB15EC" w:rsidRPr="000E461A" w:rsidRDefault="00CB15EC" w:rsidP="00702643">
      <w:pPr>
        <w:pStyle w:val="Bezproreda"/>
        <w:jc w:val="both"/>
      </w:pPr>
    </w:p>
    <w:p w14:paraId="5BDB26F0" w14:textId="77777777" w:rsidR="00551A64" w:rsidRPr="000E461A" w:rsidRDefault="00BE2557" w:rsidP="00702643">
      <w:pPr>
        <w:pStyle w:val="Bezproreda"/>
        <w:jc w:val="both"/>
      </w:pPr>
      <w:r w:rsidRPr="000E461A">
        <w:t xml:space="preserve"> </w:t>
      </w:r>
    </w:p>
    <w:p w14:paraId="0171A553" w14:textId="07FB6B22" w:rsidR="008C189E" w:rsidRDefault="008C189E" w:rsidP="003C78FA">
      <w:pPr>
        <w:pStyle w:val="Bezproreda"/>
        <w:rPr>
          <w:b/>
        </w:rPr>
      </w:pPr>
      <w:r w:rsidRPr="000E461A">
        <w:rPr>
          <w:b/>
        </w:rPr>
        <w:t>Aktivnost A60001</w:t>
      </w:r>
      <w:r w:rsidR="00CE37CF" w:rsidRPr="000E461A">
        <w:rPr>
          <w:b/>
        </w:rPr>
        <w:t>8</w:t>
      </w:r>
      <w:r w:rsidRPr="000E461A">
        <w:rPr>
          <w:b/>
        </w:rPr>
        <w:t xml:space="preserve"> </w:t>
      </w:r>
      <w:r w:rsidR="00CE37CF" w:rsidRPr="000E461A">
        <w:rPr>
          <w:b/>
        </w:rPr>
        <w:t>S osmijehom u školu 6</w:t>
      </w:r>
    </w:p>
    <w:p w14:paraId="7FE01659" w14:textId="2F32B3A3" w:rsidR="008C189E" w:rsidRDefault="00721F47" w:rsidP="002D43ED">
      <w:pPr>
        <w:pStyle w:val="Bezproreda"/>
        <w:jc w:val="both"/>
      </w:pPr>
      <w:r w:rsidRPr="00721F47">
        <w:t>Realizacija ove aktivnosti je 100% u odnosu na plan</w:t>
      </w:r>
      <w:r w:rsidR="002D43ED">
        <w:t>. Realizirana je u iznosu 11.745,54 €</w:t>
      </w:r>
      <w:r w:rsidRPr="00721F47">
        <w:t xml:space="preserve"> a</w:t>
      </w:r>
      <w:r>
        <w:t xml:space="preserve"> o</w:t>
      </w:r>
      <w:r w:rsidR="008C189E" w:rsidRPr="000E461A">
        <w:t>dnosi se na bruto plać</w:t>
      </w:r>
      <w:r w:rsidR="00CE37CF" w:rsidRPr="000E461A">
        <w:t>e</w:t>
      </w:r>
      <w:r w:rsidR="008C189E" w:rsidRPr="000E461A">
        <w:t xml:space="preserve"> uvećan</w:t>
      </w:r>
      <w:r w:rsidR="00CE37CF" w:rsidRPr="000E461A">
        <w:t>e</w:t>
      </w:r>
      <w:r w:rsidR="008C189E" w:rsidRPr="000E461A">
        <w:t xml:space="preserve"> za doprinose na plaću</w:t>
      </w:r>
      <w:r w:rsidR="00FC7D10">
        <w:t xml:space="preserve"> za razdoblje siječanj-lipanj</w:t>
      </w:r>
      <w:r w:rsidR="00CE37CF" w:rsidRPr="000E461A">
        <w:t xml:space="preserve"> </w:t>
      </w:r>
      <w:r>
        <w:t xml:space="preserve">te regres i </w:t>
      </w:r>
      <w:r w:rsidR="002D43ED">
        <w:t>nagradu za uskršnje blagdane</w:t>
      </w:r>
      <w:r w:rsidR="008C189E" w:rsidRPr="000E461A">
        <w:t xml:space="preserve"> za</w:t>
      </w:r>
      <w:r w:rsidR="00DB0D3F" w:rsidRPr="000E461A">
        <w:t xml:space="preserve"> </w:t>
      </w:r>
      <w:r w:rsidR="00CE37CF" w:rsidRPr="000E461A">
        <w:t>tri pomoćnika u nastavi</w:t>
      </w:r>
      <w:r w:rsidR="00FC7D10">
        <w:t xml:space="preserve">. </w:t>
      </w:r>
      <w:r w:rsidR="00056249" w:rsidRPr="000E461A">
        <w:t>Za ovu aktivnost sredstva osigurava osnivač u okviru istoimenog projekta financiranog od strane Europskog socijalnog fonda</w:t>
      </w:r>
      <w:r w:rsidR="00FC7D10">
        <w:t xml:space="preserve"> a projekt je završio sa završetkom školske godine 2023./2024.</w:t>
      </w:r>
    </w:p>
    <w:p w14:paraId="52C65330" w14:textId="77777777" w:rsidR="007D1973" w:rsidRPr="000E461A" w:rsidRDefault="007D1973" w:rsidP="002D43ED">
      <w:pPr>
        <w:pStyle w:val="Bezproreda"/>
        <w:jc w:val="both"/>
      </w:pPr>
    </w:p>
    <w:p w14:paraId="1C18FBCD" w14:textId="765A881E" w:rsidR="00FC7D10" w:rsidRDefault="00FC7D10" w:rsidP="00FC7D10">
      <w:pPr>
        <w:pStyle w:val="Bezproreda"/>
        <w:rPr>
          <w:b/>
        </w:rPr>
      </w:pPr>
      <w:r w:rsidRPr="000E461A">
        <w:rPr>
          <w:b/>
        </w:rPr>
        <w:t>Aktivnost A6000</w:t>
      </w:r>
      <w:r>
        <w:rPr>
          <w:b/>
        </w:rPr>
        <w:t>38</w:t>
      </w:r>
      <w:r w:rsidRPr="000E461A">
        <w:rPr>
          <w:b/>
        </w:rPr>
        <w:t xml:space="preserve"> S osmijehom u školu </w:t>
      </w:r>
      <w:r>
        <w:rPr>
          <w:b/>
        </w:rPr>
        <w:t>7</w:t>
      </w:r>
    </w:p>
    <w:p w14:paraId="1FD2300B" w14:textId="36603537" w:rsidR="00BF3D12" w:rsidRDefault="00FC7D10" w:rsidP="005F0E77">
      <w:pPr>
        <w:pStyle w:val="Bezproreda"/>
        <w:jc w:val="both"/>
      </w:pPr>
      <w:r>
        <w:t xml:space="preserve">Ova aktivnost realizirana je </w:t>
      </w:r>
      <w:r w:rsidR="00BF3D12">
        <w:t xml:space="preserve">u iznosu 16.312,79 € ili 99,54% plana iz izvora pomoći BPŽ do visine prihvatljivog troška financiranog sredstvima </w:t>
      </w:r>
      <w:r w:rsidR="002D43ED">
        <w:t xml:space="preserve">ESF </w:t>
      </w:r>
      <w:r w:rsidR="00BF3D12">
        <w:t xml:space="preserve">projekta S osmjehom u školu  te iz sredstava osnivača iz izvora: opći prihodi i primici.  Prihvatljivi jedinični trošak za jednog PUN  iznosi 1.013,00 € te je iz izvora pomoći BPŽ realizirano 12.156,00 € (1.013,00 x 4 mjeseca x 3 pomoćnika). U okviru ove aktivnosti iskazani su rashodi za plaće za razdoblje rujan-prosinac te materijalna prava PUN (božićnica, prijevoz na posao i s posla, </w:t>
      </w:r>
      <w:r w:rsidR="002D43ED">
        <w:t>troškovi službenih putovanja te zdravstvenih pregleda). Projekt S osmjehom u školu 7 započeo je u rujnu 2024. i traje do kolovoza 2027. godine</w:t>
      </w:r>
    </w:p>
    <w:p w14:paraId="4E3EC7CE" w14:textId="5984143C" w:rsidR="002D43ED" w:rsidRDefault="002D43ED" w:rsidP="005F0E77">
      <w:pPr>
        <w:pStyle w:val="Bezproreda"/>
        <w:jc w:val="both"/>
      </w:pPr>
    </w:p>
    <w:p w14:paraId="4C4192F8" w14:textId="77777777" w:rsidR="007D1973" w:rsidRDefault="007D1973" w:rsidP="003C78FA">
      <w:pPr>
        <w:pStyle w:val="Bezproreda"/>
      </w:pPr>
    </w:p>
    <w:p w14:paraId="2229E216" w14:textId="77777777" w:rsidR="00097C13" w:rsidRDefault="00097C13" w:rsidP="007D1973">
      <w:pPr>
        <w:pStyle w:val="Bezproreda"/>
        <w:jc w:val="center"/>
        <w:rPr>
          <w:b/>
          <w:sz w:val="24"/>
          <w:szCs w:val="24"/>
        </w:rPr>
      </w:pPr>
    </w:p>
    <w:p w14:paraId="5ED59B58" w14:textId="77777777" w:rsidR="00E47413" w:rsidRDefault="00E47413" w:rsidP="007D1973">
      <w:pPr>
        <w:pStyle w:val="Bezproreda"/>
        <w:jc w:val="center"/>
        <w:rPr>
          <w:b/>
          <w:sz w:val="24"/>
          <w:szCs w:val="24"/>
        </w:rPr>
      </w:pPr>
    </w:p>
    <w:p w14:paraId="68F46B74" w14:textId="3D50C656" w:rsidR="00E63968" w:rsidRDefault="007D1973" w:rsidP="007D1973">
      <w:pPr>
        <w:pStyle w:val="Bezproreda"/>
        <w:jc w:val="center"/>
        <w:rPr>
          <w:b/>
          <w:sz w:val="24"/>
          <w:szCs w:val="24"/>
        </w:rPr>
      </w:pPr>
      <w:r w:rsidRPr="007D1973">
        <w:rPr>
          <w:b/>
          <w:sz w:val="24"/>
          <w:szCs w:val="24"/>
        </w:rPr>
        <w:lastRenderedPageBreak/>
        <w:t>IZVJEŠTAJ O STANJU POTRAŽIVANJA I DOSPJELIH OBVEZA TE O STANJU POTENCIJALNIH OBVEZA PO OSNOVU SUDSKIH SPOROVA</w:t>
      </w:r>
    </w:p>
    <w:p w14:paraId="03CB1D62" w14:textId="77777777" w:rsidR="007D1973" w:rsidRDefault="007D1973" w:rsidP="007D1973">
      <w:pPr>
        <w:pStyle w:val="Bezproreda"/>
        <w:jc w:val="center"/>
        <w:rPr>
          <w:b/>
          <w:sz w:val="24"/>
          <w:szCs w:val="24"/>
        </w:rPr>
      </w:pPr>
    </w:p>
    <w:p w14:paraId="2232DCB8" w14:textId="77777777" w:rsidR="007D1973" w:rsidRDefault="007D1973" w:rsidP="007D1973">
      <w:pPr>
        <w:pStyle w:val="Bezproreda"/>
        <w:jc w:val="center"/>
        <w:rPr>
          <w:b/>
          <w:sz w:val="24"/>
          <w:szCs w:val="24"/>
        </w:rPr>
      </w:pPr>
    </w:p>
    <w:p w14:paraId="144A4774" w14:textId="77777777" w:rsidR="007D1973" w:rsidRDefault="007D1973" w:rsidP="007D1973">
      <w:pPr>
        <w:pStyle w:val="Bezproreda"/>
        <w:jc w:val="center"/>
        <w:rPr>
          <w:b/>
          <w:sz w:val="24"/>
          <w:szCs w:val="24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234"/>
      </w:tblGrid>
      <w:tr w:rsidR="00AE25E6" w14:paraId="6B1BB2AE" w14:textId="77777777" w:rsidTr="00AE25E6"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0A3E0FF" w14:textId="77777777" w:rsidR="00AE25E6" w:rsidRDefault="00AE25E6" w:rsidP="00AE25E6">
            <w:pPr>
              <w:pStyle w:val="Bezproreda"/>
              <w:rPr>
                <w:b/>
                <w:sz w:val="24"/>
                <w:szCs w:val="24"/>
              </w:rPr>
            </w:pPr>
          </w:p>
          <w:p w14:paraId="29FB3E6D" w14:textId="77777777" w:rsidR="00AE25E6" w:rsidRDefault="00AE25E6" w:rsidP="00AE25E6">
            <w:pPr>
              <w:pStyle w:val="Bezprored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17917 Elektrotehnička i ekonomska škola Nova Gradiška</w:t>
            </w:r>
          </w:p>
          <w:p w14:paraId="2696A063" w14:textId="77777777" w:rsidR="00AE25E6" w:rsidRDefault="00AE25E6" w:rsidP="00AE25E6">
            <w:pPr>
              <w:pStyle w:val="Bezproreda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  <w:vAlign w:val="center"/>
          </w:tcPr>
          <w:p w14:paraId="7B93AB33" w14:textId="101730D5" w:rsidR="00AE25E6" w:rsidRDefault="00AE25E6" w:rsidP="00AE25E6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Stanje na dan  31.12.202</w:t>
            </w:r>
            <w:r w:rsidR="00C76CAC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7D1973" w14:paraId="3E97F4F1" w14:textId="77777777" w:rsidTr="00AE25E6">
        <w:trPr>
          <w:trHeight w:hRule="exact" w:val="567"/>
        </w:trPr>
        <w:tc>
          <w:tcPr>
            <w:tcW w:w="6946" w:type="dxa"/>
            <w:vAlign w:val="center"/>
          </w:tcPr>
          <w:p w14:paraId="20A2BC11" w14:textId="63CDF924" w:rsidR="00AE25E6" w:rsidRPr="00AE25E6" w:rsidRDefault="00AE25E6" w:rsidP="00AE25E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Nenaplaćena potraživanja za prihode od </w:t>
            </w:r>
            <w:r w:rsidR="001B4CDE">
              <w:rPr>
                <w:sz w:val="24"/>
                <w:szCs w:val="24"/>
              </w:rPr>
              <w:t>prodaje proizvoda i robe te pruženih usluga</w:t>
            </w:r>
          </w:p>
        </w:tc>
        <w:tc>
          <w:tcPr>
            <w:tcW w:w="2234" w:type="dxa"/>
            <w:vAlign w:val="center"/>
          </w:tcPr>
          <w:p w14:paraId="1E159F96" w14:textId="4ED932A1" w:rsidR="007D1973" w:rsidRPr="00AE25E6" w:rsidRDefault="001B4CDE" w:rsidP="00AE25E6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5.374,91</w:t>
            </w:r>
            <w:r w:rsidR="00AE25E6">
              <w:rPr>
                <w:sz w:val="24"/>
                <w:szCs w:val="24"/>
              </w:rPr>
              <w:t xml:space="preserve"> €</w:t>
            </w:r>
          </w:p>
        </w:tc>
      </w:tr>
      <w:tr w:rsidR="007D1973" w14:paraId="2E9B4B31" w14:textId="77777777" w:rsidTr="00AE25E6">
        <w:trPr>
          <w:trHeight w:hRule="exact" w:val="567"/>
        </w:trPr>
        <w:tc>
          <w:tcPr>
            <w:tcW w:w="6946" w:type="dxa"/>
            <w:vAlign w:val="center"/>
          </w:tcPr>
          <w:p w14:paraId="669C84E9" w14:textId="77777777" w:rsidR="007D1973" w:rsidRPr="00AE25E6" w:rsidRDefault="00AE25E6" w:rsidP="00AE25E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Nepodmirene dospjele obveze</w:t>
            </w:r>
          </w:p>
        </w:tc>
        <w:tc>
          <w:tcPr>
            <w:tcW w:w="2234" w:type="dxa"/>
            <w:vAlign w:val="center"/>
          </w:tcPr>
          <w:p w14:paraId="1DA3C3CD" w14:textId="3C2B7731" w:rsidR="007D1973" w:rsidRPr="00AE25E6" w:rsidRDefault="001B4CDE" w:rsidP="00AE25E6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AE25E6">
              <w:rPr>
                <w:sz w:val="24"/>
                <w:szCs w:val="24"/>
              </w:rPr>
              <w:t xml:space="preserve"> €</w:t>
            </w:r>
          </w:p>
        </w:tc>
      </w:tr>
      <w:tr w:rsidR="007D1973" w14:paraId="0896D8A7" w14:textId="77777777" w:rsidTr="00AE25E6">
        <w:trPr>
          <w:trHeight w:hRule="exact" w:val="567"/>
        </w:trPr>
        <w:tc>
          <w:tcPr>
            <w:tcW w:w="6946" w:type="dxa"/>
            <w:vAlign w:val="center"/>
          </w:tcPr>
          <w:p w14:paraId="16A067BA" w14:textId="77777777" w:rsidR="007D1973" w:rsidRPr="00AE25E6" w:rsidRDefault="00AE25E6" w:rsidP="00AE25E6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Potencijalne obveze po osnovi sudskih sporova</w:t>
            </w:r>
          </w:p>
        </w:tc>
        <w:tc>
          <w:tcPr>
            <w:tcW w:w="2234" w:type="dxa"/>
            <w:vAlign w:val="center"/>
          </w:tcPr>
          <w:p w14:paraId="22B804A4" w14:textId="77777777" w:rsidR="007D1973" w:rsidRPr="00AE25E6" w:rsidRDefault="00AE25E6" w:rsidP="00AE25E6">
            <w:pPr>
              <w:pStyle w:val="Bezprored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</w:tr>
    </w:tbl>
    <w:p w14:paraId="1E0246AD" w14:textId="77777777" w:rsidR="007D1973" w:rsidRPr="007D1973" w:rsidRDefault="007D1973" w:rsidP="007D1973">
      <w:pPr>
        <w:pStyle w:val="Bezproreda"/>
        <w:jc w:val="center"/>
        <w:rPr>
          <w:b/>
          <w:sz w:val="24"/>
          <w:szCs w:val="24"/>
        </w:rPr>
      </w:pPr>
    </w:p>
    <w:p w14:paraId="585E23AD" w14:textId="77777777" w:rsidR="00E63968" w:rsidRDefault="00E63968" w:rsidP="003C78FA">
      <w:pPr>
        <w:pStyle w:val="Bezproreda"/>
        <w:rPr>
          <w:b/>
        </w:rPr>
      </w:pPr>
    </w:p>
    <w:p w14:paraId="2E8B92F8" w14:textId="77777777" w:rsidR="00934D46" w:rsidRPr="007D1973" w:rsidRDefault="00934D46" w:rsidP="003C78FA">
      <w:pPr>
        <w:pStyle w:val="Bezproreda"/>
        <w:rPr>
          <w:b/>
        </w:rPr>
      </w:pPr>
    </w:p>
    <w:p w14:paraId="3B91F5E2" w14:textId="77777777" w:rsidR="003C78FA" w:rsidRPr="000E461A" w:rsidRDefault="003C78FA" w:rsidP="0094383F">
      <w:pPr>
        <w:jc w:val="both"/>
      </w:pPr>
    </w:p>
    <w:p w14:paraId="6992A502" w14:textId="77777777" w:rsidR="00281C56" w:rsidRPr="000E461A" w:rsidRDefault="00281C56" w:rsidP="0094383F">
      <w:pPr>
        <w:jc w:val="both"/>
      </w:pPr>
      <w:r w:rsidRPr="000E461A">
        <w:t>SASTAVILA:</w:t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</w:r>
      <w:r w:rsidRPr="000E461A">
        <w:tab/>
        <w:t>RAVNATELJICA:</w:t>
      </w:r>
    </w:p>
    <w:p w14:paraId="39D129A0" w14:textId="77777777" w:rsidR="00D664D1" w:rsidRDefault="00281C56" w:rsidP="00705427">
      <w:pPr>
        <w:jc w:val="both"/>
      </w:pPr>
      <w:r w:rsidRPr="000E461A">
        <w:t xml:space="preserve">Jasenka </w:t>
      </w:r>
      <w:proofErr w:type="spellStart"/>
      <w:r w:rsidRPr="000E461A">
        <w:t>Podobnik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Sanja Müller-Zoričić</w:t>
      </w:r>
    </w:p>
    <w:sectPr w:rsidR="00D664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A019" w14:textId="77777777" w:rsidR="00051865" w:rsidRDefault="00051865" w:rsidP="00FC1D0F">
      <w:pPr>
        <w:spacing w:after="0" w:line="240" w:lineRule="auto"/>
      </w:pPr>
      <w:r>
        <w:separator/>
      </w:r>
    </w:p>
  </w:endnote>
  <w:endnote w:type="continuationSeparator" w:id="0">
    <w:p w14:paraId="16719678" w14:textId="77777777" w:rsidR="00051865" w:rsidRDefault="00051865" w:rsidP="00FC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73480"/>
      <w:docPartObj>
        <w:docPartGallery w:val="Page Numbers (Bottom of Page)"/>
        <w:docPartUnique/>
      </w:docPartObj>
    </w:sdtPr>
    <w:sdtEndPr/>
    <w:sdtContent>
      <w:p w14:paraId="494CE0EA" w14:textId="09016201" w:rsidR="00FC1D0F" w:rsidRDefault="00FC1D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E2267" w14:textId="77777777" w:rsidR="00FC1D0F" w:rsidRDefault="00FC1D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7722" w14:textId="77777777" w:rsidR="00051865" w:rsidRDefault="00051865" w:rsidP="00FC1D0F">
      <w:pPr>
        <w:spacing w:after="0" w:line="240" w:lineRule="auto"/>
      </w:pPr>
      <w:r>
        <w:separator/>
      </w:r>
    </w:p>
  </w:footnote>
  <w:footnote w:type="continuationSeparator" w:id="0">
    <w:p w14:paraId="7E97BD71" w14:textId="77777777" w:rsidR="00051865" w:rsidRDefault="00051865" w:rsidP="00FC1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D5B"/>
    <w:multiLevelType w:val="hybridMultilevel"/>
    <w:tmpl w:val="B296A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556F8"/>
    <w:multiLevelType w:val="hybridMultilevel"/>
    <w:tmpl w:val="153AD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2BBE"/>
    <w:multiLevelType w:val="multilevel"/>
    <w:tmpl w:val="AA6EC2C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F7E5E78"/>
    <w:multiLevelType w:val="hybridMultilevel"/>
    <w:tmpl w:val="E962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A35AE"/>
    <w:multiLevelType w:val="hybridMultilevel"/>
    <w:tmpl w:val="3FACF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865DD"/>
    <w:multiLevelType w:val="hybridMultilevel"/>
    <w:tmpl w:val="4970D7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F57"/>
    <w:multiLevelType w:val="hybridMultilevel"/>
    <w:tmpl w:val="838AAD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35F94"/>
    <w:multiLevelType w:val="multilevel"/>
    <w:tmpl w:val="83B2C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5D5495A"/>
    <w:multiLevelType w:val="hybridMultilevel"/>
    <w:tmpl w:val="812619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TklTFO12XgNwaRGTGFs9TzsOeWYlKxPpr5G89GYCy39J8q24Fxe3UUSk9Zy41AEom33/HLfxgIO5wlQcXP4vQ==" w:salt="dIwE9TAs4ZG1BblgRJFU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A3"/>
    <w:rsid w:val="000035AE"/>
    <w:rsid w:val="00015ADF"/>
    <w:rsid w:val="00051865"/>
    <w:rsid w:val="00056249"/>
    <w:rsid w:val="00080B34"/>
    <w:rsid w:val="00084704"/>
    <w:rsid w:val="00084868"/>
    <w:rsid w:val="00087FBF"/>
    <w:rsid w:val="00097C13"/>
    <w:rsid w:val="000A4B1E"/>
    <w:rsid w:val="000B029B"/>
    <w:rsid w:val="000B077F"/>
    <w:rsid w:val="000B3FF0"/>
    <w:rsid w:val="000B58C8"/>
    <w:rsid w:val="000D0E83"/>
    <w:rsid w:val="000E461A"/>
    <w:rsid w:val="00104A4C"/>
    <w:rsid w:val="00105EB8"/>
    <w:rsid w:val="00112D2E"/>
    <w:rsid w:val="0012121C"/>
    <w:rsid w:val="00142F5C"/>
    <w:rsid w:val="00145BCF"/>
    <w:rsid w:val="001544B4"/>
    <w:rsid w:val="0015486A"/>
    <w:rsid w:val="001825C9"/>
    <w:rsid w:val="001930BC"/>
    <w:rsid w:val="001965EC"/>
    <w:rsid w:val="001A5B8E"/>
    <w:rsid w:val="001B4CDE"/>
    <w:rsid w:val="001B54C8"/>
    <w:rsid w:val="001B7899"/>
    <w:rsid w:val="001C0705"/>
    <w:rsid w:val="001F79F6"/>
    <w:rsid w:val="0020289E"/>
    <w:rsid w:val="00213524"/>
    <w:rsid w:val="002273DA"/>
    <w:rsid w:val="002342E5"/>
    <w:rsid w:val="0023719A"/>
    <w:rsid w:val="00255D9F"/>
    <w:rsid w:val="00266A94"/>
    <w:rsid w:val="00271E7C"/>
    <w:rsid w:val="00276C8E"/>
    <w:rsid w:val="00277DFA"/>
    <w:rsid w:val="00281C56"/>
    <w:rsid w:val="002852F5"/>
    <w:rsid w:val="002A3570"/>
    <w:rsid w:val="002A3AAD"/>
    <w:rsid w:val="002A5D55"/>
    <w:rsid w:val="002B0B06"/>
    <w:rsid w:val="002B1826"/>
    <w:rsid w:val="002C1701"/>
    <w:rsid w:val="002D43ED"/>
    <w:rsid w:val="002D53B5"/>
    <w:rsid w:val="002D6D40"/>
    <w:rsid w:val="002F7A1C"/>
    <w:rsid w:val="00313094"/>
    <w:rsid w:val="00313966"/>
    <w:rsid w:val="003163E0"/>
    <w:rsid w:val="00327AFF"/>
    <w:rsid w:val="0033320E"/>
    <w:rsid w:val="00342B88"/>
    <w:rsid w:val="00345425"/>
    <w:rsid w:val="003501E3"/>
    <w:rsid w:val="0039206A"/>
    <w:rsid w:val="003A6194"/>
    <w:rsid w:val="003B0D95"/>
    <w:rsid w:val="003B5684"/>
    <w:rsid w:val="003C6578"/>
    <w:rsid w:val="003C78FA"/>
    <w:rsid w:val="003E1BAD"/>
    <w:rsid w:val="003E4759"/>
    <w:rsid w:val="003F113C"/>
    <w:rsid w:val="0046204F"/>
    <w:rsid w:val="004747C5"/>
    <w:rsid w:val="004A7168"/>
    <w:rsid w:val="004B40F6"/>
    <w:rsid w:val="004C56BB"/>
    <w:rsid w:val="004C6E8F"/>
    <w:rsid w:val="004D47A4"/>
    <w:rsid w:val="004E6478"/>
    <w:rsid w:val="004E7192"/>
    <w:rsid w:val="00512FA3"/>
    <w:rsid w:val="00544A96"/>
    <w:rsid w:val="00551A64"/>
    <w:rsid w:val="00571D0C"/>
    <w:rsid w:val="005870B8"/>
    <w:rsid w:val="00591434"/>
    <w:rsid w:val="00593A13"/>
    <w:rsid w:val="00593B17"/>
    <w:rsid w:val="005D660E"/>
    <w:rsid w:val="005D7C1C"/>
    <w:rsid w:val="005E7EBE"/>
    <w:rsid w:val="005F0E77"/>
    <w:rsid w:val="005F2ACF"/>
    <w:rsid w:val="006002C7"/>
    <w:rsid w:val="00617A6D"/>
    <w:rsid w:val="00624F0B"/>
    <w:rsid w:val="006421D1"/>
    <w:rsid w:val="006711E6"/>
    <w:rsid w:val="00676BE5"/>
    <w:rsid w:val="0069282D"/>
    <w:rsid w:val="006A79A2"/>
    <w:rsid w:val="006B2C00"/>
    <w:rsid w:val="006C4617"/>
    <w:rsid w:val="006D2C74"/>
    <w:rsid w:val="006E521A"/>
    <w:rsid w:val="006E77B0"/>
    <w:rsid w:val="006F12E5"/>
    <w:rsid w:val="006F73AF"/>
    <w:rsid w:val="00702643"/>
    <w:rsid w:val="00705427"/>
    <w:rsid w:val="00705B5E"/>
    <w:rsid w:val="00721F47"/>
    <w:rsid w:val="0074719B"/>
    <w:rsid w:val="007A6A9C"/>
    <w:rsid w:val="007C0E90"/>
    <w:rsid w:val="007D1973"/>
    <w:rsid w:val="007D7F18"/>
    <w:rsid w:val="007E0496"/>
    <w:rsid w:val="007E114E"/>
    <w:rsid w:val="007F7368"/>
    <w:rsid w:val="0080104E"/>
    <w:rsid w:val="008048CF"/>
    <w:rsid w:val="00834B36"/>
    <w:rsid w:val="008466FD"/>
    <w:rsid w:val="008522FB"/>
    <w:rsid w:val="008842E3"/>
    <w:rsid w:val="0088434D"/>
    <w:rsid w:val="00886C31"/>
    <w:rsid w:val="008A6C75"/>
    <w:rsid w:val="008B0167"/>
    <w:rsid w:val="008B5B91"/>
    <w:rsid w:val="008C189E"/>
    <w:rsid w:val="008D3F82"/>
    <w:rsid w:val="008F4FDE"/>
    <w:rsid w:val="0090474E"/>
    <w:rsid w:val="009113E8"/>
    <w:rsid w:val="0092051C"/>
    <w:rsid w:val="00925B27"/>
    <w:rsid w:val="00926121"/>
    <w:rsid w:val="00934D46"/>
    <w:rsid w:val="00935E3C"/>
    <w:rsid w:val="00936F42"/>
    <w:rsid w:val="00940B6A"/>
    <w:rsid w:val="009411A6"/>
    <w:rsid w:val="0094383F"/>
    <w:rsid w:val="00974F78"/>
    <w:rsid w:val="009B35B6"/>
    <w:rsid w:val="009B4277"/>
    <w:rsid w:val="009D29F0"/>
    <w:rsid w:val="009E1086"/>
    <w:rsid w:val="009F2C5D"/>
    <w:rsid w:val="00A27ED8"/>
    <w:rsid w:val="00A512F2"/>
    <w:rsid w:val="00A83940"/>
    <w:rsid w:val="00AB57AC"/>
    <w:rsid w:val="00AC607C"/>
    <w:rsid w:val="00AE2252"/>
    <w:rsid w:val="00AE25E6"/>
    <w:rsid w:val="00B024A5"/>
    <w:rsid w:val="00B034A8"/>
    <w:rsid w:val="00B052BF"/>
    <w:rsid w:val="00B13868"/>
    <w:rsid w:val="00B52617"/>
    <w:rsid w:val="00B60939"/>
    <w:rsid w:val="00B66867"/>
    <w:rsid w:val="00B669DD"/>
    <w:rsid w:val="00B71731"/>
    <w:rsid w:val="00B951B7"/>
    <w:rsid w:val="00B953E9"/>
    <w:rsid w:val="00BA7095"/>
    <w:rsid w:val="00BB36FA"/>
    <w:rsid w:val="00BD26CE"/>
    <w:rsid w:val="00BE2557"/>
    <w:rsid w:val="00BE2FED"/>
    <w:rsid w:val="00BE7338"/>
    <w:rsid w:val="00BF3D12"/>
    <w:rsid w:val="00C07CFC"/>
    <w:rsid w:val="00C129F5"/>
    <w:rsid w:val="00C13F9D"/>
    <w:rsid w:val="00C51B42"/>
    <w:rsid w:val="00C76CAC"/>
    <w:rsid w:val="00C77061"/>
    <w:rsid w:val="00CB15EC"/>
    <w:rsid w:val="00CE37CF"/>
    <w:rsid w:val="00CF4312"/>
    <w:rsid w:val="00CF4D88"/>
    <w:rsid w:val="00CF5D1C"/>
    <w:rsid w:val="00CF701E"/>
    <w:rsid w:val="00D04706"/>
    <w:rsid w:val="00D04B40"/>
    <w:rsid w:val="00D17C5F"/>
    <w:rsid w:val="00D579AA"/>
    <w:rsid w:val="00D663E3"/>
    <w:rsid w:val="00D664D1"/>
    <w:rsid w:val="00D70287"/>
    <w:rsid w:val="00D824F4"/>
    <w:rsid w:val="00D90CD7"/>
    <w:rsid w:val="00D91C1B"/>
    <w:rsid w:val="00D9505D"/>
    <w:rsid w:val="00DB0D3F"/>
    <w:rsid w:val="00DB16B7"/>
    <w:rsid w:val="00DC2931"/>
    <w:rsid w:val="00DD73D8"/>
    <w:rsid w:val="00DE69E9"/>
    <w:rsid w:val="00E002D3"/>
    <w:rsid w:val="00E02AED"/>
    <w:rsid w:val="00E13B5E"/>
    <w:rsid w:val="00E14B61"/>
    <w:rsid w:val="00E16166"/>
    <w:rsid w:val="00E27C16"/>
    <w:rsid w:val="00E47413"/>
    <w:rsid w:val="00E50860"/>
    <w:rsid w:val="00E63968"/>
    <w:rsid w:val="00E84A1A"/>
    <w:rsid w:val="00E908D3"/>
    <w:rsid w:val="00E95FC6"/>
    <w:rsid w:val="00EA2E7C"/>
    <w:rsid w:val="00EC350A"/>
    <w:rsid w:val="00ED7D2E"/>
    <w:rsid w:val="00EE3C2A"/>
    <w:rsid w:val="00EE7123"/>
    <w:rsid w:val="00EF55D1"/>
    <w:rsid w:val="00F07919"/>
    <w:rsid w:val="00F2046E"/>
    <w:rsid w:val="00F40B6F"/>
    <w:rsid w:val="00F4780C"/>
    <w:rsid w:val="00F50A96"/>
    <w:rsid w:val="00F54B70"/>
    <w:rsid w:val="00FA41BC"/>
    <w:rsid w:val="00FA7CA0"/>
    <w:rsid w:val="00FC1D0F"/>
    <w:rsid w:val="00FC5ECA"/>
    <w:rsid w:val="00FC7D10"/>
    <w:rsid w:val="00FF1327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A302"/>
  <w15:docId w15:val="{A7F83E99-CA01-4282-A590-42912978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5A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4E6478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705B5E"/>
  </w:style>
  <w:style w:type="paragraph" w:styleId="Tekstbalonia">
    <w:name w:val="Balloon Text"/>
    <w:basedOn w:val="Normal"/>
    <w:link w:val="TekstbaloniaChar"/>
    <w:uiPriority w:val="99"/>
    <w:semiHidden/>
    <w:unhideWhenUsed/>
    <w:rsid w:val="00D9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D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9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A7"/>
    <w:uiPriority w:val="99"/>
    <w:rsid w:val="00591434"/>
    <w:rPr>
      <w:i/>
      <w:iCs/>
      <w:color w:val="000000"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F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D0F"/>
  </w:style>
  <w:style w:type="paragraph" w:styleId="Podnoje">
    <w:name w:val="footer"/>
    <w:basedOn w:val="Normal"/>
    <w:link w:val="PodnojeChar"/>
    <w:uiPriority w:val="99"/>
    <w:unhideWhenUsed/>
    <w:rsid w:val="00FC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89DB-BEDA-4106-9C1A-E86A7220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2348</Words>
  <Characters>13386</Characters>
  <Application>Microsoft Office Word</Application>
  <DocSecurity>8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68</cp:revision>
  <cp:lastPrinted>2024-03-21T12:56:00Z</cp:lastPrinted>
  <dcterms:created xsi:type="dcterms:W3CDTF">2023-02-10T14:04:00Z</dcterms:created>
  <dcterms:modified xsi:type="dcterms:W3CDTF">2025-03-18T10:53:00Z</dcterms:modified>
</cp:coreProperties>
</file>